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4393" w14:textId="77777777" w:rsidR="00C86F7B" w:rsidRDefault="00A84255" w:rsidP="00C86F7B">
      <w:pPr>
        <w:pStyle w:val="Body"/>
        <w:ind w:left="0" w:firstLine="0"/>
        <w:jc w:val="left"/>
        <w:rPr>
          <w:rFonts w:eastAsia="Times New Roman" w:cs="Arial"/>
        </w:rPr>
      </w:pPr>
      <w:bookmarkStart w:id="0" w:name="_GoBack"/>
      <w:bookmarkEnd w:id="0"/>
      <w:r w:rsidRPr="00C86F7B">
        <w:rPr>
          <w:rFonts w:eastAsia="Times New Roman" w:cs="Arial"/>
        </w:rPr>
        <w:t> </w:t>
      </w:r>
    </w:p>
    <w:p w14:paraId="05353EC4" w14:textId="77777777" w:rsidR="00C86F7B" w:rsidRDefault="00C86F7B" w:rsidP="00C86F7B">
      <w:pPr>
        <w:pStyle w:val="Body"/>
        <w:ind w:left="0" w:firstLine="0"/>
        <w:jc w:val="left"/>
        <w:rPr>
          <w:rFonts w:eastAsia="Times New Roman" w:cs="Arial"/>
        </w:rPr>
      </w:pPr>
    </w:p>
    <w:p w14:paraId="66B588F1" w14:textId="01AA9AAB" w:rsidR="00C86F7B" w:rsidRPr="002F1F94" w:rsidRDefault="00C86F7B" w:rsidP="00C86F7B">
      <w:pPr>
        <w:pStyle w:val="Body"/>
        <w:ind w:left="0" w:firstLine="0"/>
        <w:jc w:val="left"/>
      </w:pPr>
      <w:r w:rsidRPr="002F1F94">
        <w:t xml:space="preserve">January </w:t>
      </w:r>
      <w:r w:rsidR="00AE60A9">
        <w:t>13,</w:t>
      </w:r>
      <w:r w:rsidRPr="002F1F94">
        <w:t xml:space="preserve"> 20</w:t>
      </w:r>
      <w:r w:rsidR="00AE60A9">
        <w:t>20</w:t>
      </w:r>
      <w:r w:rsidRPr="002F1F94">
        <w:t xml:space="preserve"> </w:t>
      </w:r>
    </w:p>
    <w:p w14:paraId="5D53780A" w14:textId="77777777" w:rsidR="00C86F7B" w:rsidRPr="002F1F94" w:rsidRDefault="00C86F7B" w:rsidP="00C86F7B">
      <w:pPr>
        <w:pStyle w:val="Body"/>
        <w:spacing w:after="0" w:line="259" w:lineRule="auto"/>
        <w:ind w:left="0" w:firstLine="0"/>
        <w:jc w:val="left"/>
      </w:pPr>
      <w:r w:rsidRPr="002F1F94">
        <w:t xml:space="preserve"> </w:t>
      </w:r>
    </w:p>
    <w:p w14:paraId="66310673" w14:textId="77777777" w:rsidR="00C86F7B" w:rsidRPr="002F1F94" w:rsidRDefault="00C86F7B" w:rsidP="00C86F7B">
      <w:pPr>
        <w:pStyle w:val="Body"/>
        <w:ind w:left="0" w:firstLine="0"/>
        <w:jc w:val="left"/>
      </w:pPr>
      <w:r w:rsidRPr="002F1F94">
        <w:t xml:space="preserve">The Honorable Gavin Newsom </w:t>
      </w:r>
    </w:p>
    <w:p w14:paraId="01D15C6C" w14:textId="77777777" w:rsidR="00C86F7B" w:rsidRPr="002F1F94" w:rsidRDefault="00C86F7B" w:rsidP="00C86F7B">
      <w:pPr>
        <w:pStyle w:val="Body"/>
        <w:ind w:left="0" w:firstLine="0"/>
        <w:jc w:val="left"/>
      </w:pPr>
      <w:r w:rsidRPr="002F1F94">
        <w:t xml:space="preserve">Governor of California  </w:t>
      </w:r>
    </w:p>
    <w:p w14:paraId="57D34B43" w14:textId="77777777" w:rsidR="00C86F7B" w:rsidRPr="002F1F94" w:rsidRDefault="00C86F7B" w:rsidP="00C86F7B">
      <w:pPr>
        <w:pStyle w:val="Body"/>
        <w:ind w:left="0" w:firstLine="0"/>
        <w:jc w:val="left"/>
      </w:pPr>
      <w:r w:rsidRPr="002F1F94">
        <w:rPr>
          <w:lang w:val="it-IT"/>
        </w:rPr>
        <w:t xml:space="preserve">State Capitol, Suite 1114 </w:t>
      </w:r>
    </w:p>
    <w:p w14:paraId="5FFB33BD" w14:textId="77777777" w:rsidR="00C86F7B" w:rsidRPr="002F1F94" w:rsidRDefault="00C86F7B" w:rsidP="00C86F7B">
      <w:pPr>
        <w:pStyle w:val="Body"/>
        <w:ind w:left="0" w:firstLine="0"/>
        <w:jc w:val="left"/>
      </w:pPr>
      <w:r w:rsidRPr="002F1F94">
        <w:rPr>
          <w:lang w:val="it-IT"/>
        </w:rPr>
        <w:t xml:space="preserve">Sacramento, CA 95814 </w:t>
      </w:r>
    </w:p>
    <w:p w14:paraId="42FCC7CE" w14:textId="77777777" w:rsidR="00C86F7B" w:rsidRPr="002F1F94" w:rsidRDefault="00C86F7B" w:rsidP="00C86F7B">
      <w:pPr>
        <w:pStyle w:val="Body"/>
        <w:spacing w:after="0" w:line="259" w:lineRule="auto"/>
        <w:ind w:left="0" w:firstLine="0"/>
        <w:jc w:val="left"/>
      </w:pPr>
      <w:r w:rsidRPr="002F1F94">
        <w:t xml:space="preserve"> </w:t>
      </w:r>
    </w:p>
    <w:p w14:paraId="768A041F" w14:textId="77777777" w:rsidR="00C86F7B" w:rsidRPr="002F1F94" w:rsidRDefault="00C86F7B" w:rsidP="00C86F7B">
      <w:pPr>
        <w:pStyle w:val="Body"/>
        <w:ind w:left="0" w:firstLine="0"/>
        <w:jc w:val="left"/>
      </w:pPr>
      <w:r w:rsidRPr="002F1F94">
        <w:t xml:space="preserve">Dear Governor Newsom: </w:t>
      </w:r>
    </w:p>
    <w:p w14:paraId="27CD14BF" w14:textId="77777777" w:rsidR="00A84255" w:rsidRPr="002F1F94" w:rsidRDefault="00A84255" w:rsidP="00A84255">
      <w:pPr>
        <w:rPr>
          <w:rFonts w:ascii="Arial" w:eastAsia="Times New Roman" w:hAnsi="Arial" w:cs="Arial"/>
          <w:sz w:val="24"/>
          <w:szCs w:val="24"/>
        </w:rPr>
      </w:pPr>
    </w:p>
    <w:p w14:paraId="01A1A40E" w14:textId="094392B0"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When you appointed us to lead your Council of Regional Homeless Advisors (Council) in 2019, you asked us to focus on three goals: </w:t>
      </w:r>
      <w:r w:rsidR="00CF3E27">
        <w:rPr>
          <w:rFonts w:ascii="Arial" w:eastAsia="Times New Roman" w:hAnsi="Arial" w:cs="Arial"/>
          <w:sz w:val="24"/>
          <w:szCs w:val="24"/>
        </w:rPr>
        <w:t>d</w:t>
      </w:r>
      <w:r w:rsidRPr="002F1F94">
        <w:rPr>
          <w:rFonts w:ascii="Arial" w:eastAsia="Times New Roman" w:hAnsi="Arial" w:cs="Arial"/>
          <w:sz w:val="24"/>
          <w:szCs w:val="24"/>
        </w:rPr>
        <w:t xml:space="preserve">ramatically reducing street homelessness; breaking down barriers keeping homeless people from </w:t>
      </w:r>
      <w:r w:rsidR="00CF3E27">
        <w:rPr>
          <w:rFonts w:ascii="Arial" w:eastAsia="Times New Roman" w:hAnsi="Arial" w:cs="Arial"/>
          <w:sz w:val="24"/>
          <w:szCs w:val="24"/>
        </w:rPr>
        <w:t xml:space="preserve">accessing </w:t>
      </w:r>
      <w:r w:rsidRPr="002F1F94">
        <w:rPr>
          <w:rFonts w:ascii="Arial" w:eastAsia="Times New Roman" w:hAnsi="Arial" w:cs="Arial"/>
          <w:sz w:val="24"/>
          <w:szCs w:val="24"/>
        </w:rPr>
        <w:t xml:space="preserve"> mental health and substance abuse services; and finding ways to both reduce the cost and boost the supply of housing options for those experiencing homelessness. Our short-term charge did not include more fully exploring how to prevent people from becoming homeless. We recommend making homelessness prevention, targeted to those most likely to fall into homelessness, a major focus as we continue our work in 2020. Prevention should focus particularly on the growing number of Californians becoming homeless due to economic displacement, as well as those discharging from our institutional settings into homelessness.</w:t>
      </w:r>
    </w:p>
    <w:p w14:paraId="311F5732"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1A60F627"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Our work is far from complete. We are submitting this interim set of recommendations to guide specific budget and policy actions for the beginning of the 2020 legislative session.</w:t>
      </w:r>
    </w:p>
    <w:p w14:paraId="14D0051C"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0B60B138"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b/>
          <w:bCs/>
          <w:sz w:val="24"/>
          <w:szCs w:val="24"/>
        </w:rPr>
        <w:t>A Greater Sense of Urgency Should Drive Our Response</w:t>
      </w:r>
    </w:p>
    <w:p w14:paraId="177B695B"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74858622" w14:textId="5B93A1B4"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Homelessness is undeniably complicated, but our task force seeks to identify critical dimensions and answer the key question: In a context in which the federal government has drastically reduced housing investments and </w:t>
      </w:r>
      <w:r w:rsidR="00B7579B" w:rsidRPr="002F1F94">
        <w:rPr>
          <w:rFonts w:ascii="Arial" w:eastAsia="Times New Roman" w:hAnsi="Arial" w:cs="Arial"/>
          <w:sz w:val="24"/>
          <w:szCs w:val="24"/>
        </w:rPr>
        <w:t>may be</w:t>
      </w:r>
      <w:r w:rsidRPr="002F1F94">
        <w:rPr>
          <w:rFonts w:ascii="Arial" w:eastAsia="Times New Roman" w:hAnsi="Arial" w:cs="Arial"/>
          <w:sz w:val="24"/>
          <w:szCs w:val="24"/>
        </w:rPr>
        <w:t xml:space="preserve"> departing from evidence-based approaches to addressing homelessness, how can we best use state public policy </w:t>
      </w:r>
      <w:r w:rsidR="00CF3E27">
        <w:rPr>
          <w:rFonts w:ascii="Arial" w:eastAsia="Times New Roman" w:hAnsi="Arial" w:cs="Arial"/>
          <w:sz w:val="24"/>
          <w:szCs w:val="24"/>
        </w:rPr>
        <w:t xml:space="preserve">and resources </w:t>
      </w:r>
      <w:r w:rsidRPr="002F1F94">
        <w:rPr>
          <w:rFonts w:ascii="Arial" w:eastAsia="Times New Roman" w:hAnsi="Arial" w:cs="Arial"/>
          <w:sz w:val="24"/>
          <w:szCs w:val="24"/>
        </w:rPr>
        <w:t xml:space="preserve">to incentivize and require our state and local </w:t>
      </w:r>
      <w:r w:rsidR="00CF3E27">
        <w:rPr>
          <w:rFonts w:ascii="Arial" w:eastAsia="Times New Roman" w:hAnsi="Arial" w:cs="Arial"/>
          <w:sz w:val="24"/>
          <w:szCs w:val="24"/>
        </w:rPr>
        <w:t xml:space="preserve">governments </w:t>
      </w:r>
      <w:r w:rsidRPr="002F1F94">
        <w:rPr>
          <w:rFonts w:ascii="Arial" w:eastAsia="Times New Roman" w:hAnsi="Arial" w:cs="Arial"/>
          <w:sz w:val="24"/>
          <w:szCs w:val="24"/>
        </w:rPr>
        <w:t>to scale the evidence-based practices and make this intolerable condition dramatically better</w:t>
      </w:r>
      <w:r w:rsidR="00CF3E27">
        <w:rPr>
          <w:rFonts w:ascii="Arial" w:eastAsia="Times New Roman" w:hAnsi="Arial" w:cs="Arial"/>
          <w:sz w:val="24"/>
          <w:szCs w:val="24"/>
        </w:rPr>
        <w:t>?</w:t>
      </w:r>
    </w:p>
    <w:p w14:paraId="4177C624"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2AF93802"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As you stated in your letter to the Council on September 26, 2019, “We first have to acknowledge that for decades, it has been tacitly acceptable for people to sleep on the streets.” That current approach in California is unacceptable. We must move beyond state and local governments accepting that approach.</w:t>
      </w:r>
    </w:p>
    <w:p w14:paraId="35E671E7"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64AC8834" w14:textId="10DFF9D9"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Our initial recommendations center on a key principle. The </w:t>
      </w:r>
      <w:r w:rsidR="00CF3E27">
        <w:rPr>
          <w:rFonts w:ascii="Arial" w:eastAsia="Times New Roman" w:hAnsi="Arial" w:cs="Arial"/>
          <w:sz w:val="24"/>
          <w:szCs w:val="24"/>
        </w:rPr>
        <w:t>s</w:t>
      </w:r>
      <w:r w:rsidRPr="002F1F94">
        <w:rPr>
          <w:rFonts w:ascii="Arial" w:eastAsia="Times New Roman" w:hAnsi="Arial" w:cs="Arial"/>
          <w:sz w:val="24"/>
          <w:szCs w:val="24"/>
        </w:rPr>
        <w:t xml:space="preserve">tate, in partnership with local governments, can no longer accept tens of thousands of fellow Californians living in the most unsafe and unhealthy manner. The evidence makes clear that experiencing homelessness for any appreciable length of time shortens life spans by an average of </w:t>
      </w:r>
      <w:r w:rsidRPr="002F1F94">
        <w:rPr>
          <w:rFonts w:ascii="Arial" w:eastAsia="Times New Roman" w:hAnsi="Arial" w:cs="Arial"/>
          <w:sz w:val="24"/>
          <w:szCs w:val="24"/>
        </w:rPr>
        <w:lastRenderedPageBreak/>
        <w:t>25 years.</w:t>
      </w:r>
      <w:r w:rsidR="0038740A" w:rsidRPr="002F1F94">
        <w:rPr>
          <w:rFonts w:ascii="Arial" w:eastAsia="Times New Roman" w:hAnsi="Arial" w:cs="Arial"/>
          <w:sz w:val="24"/>
          <w:szCs w:val="24"/>
        </w:rPr>
        <w:t xml:space="preserve"> </w:t>
      </w:r>
      <w:r w:rsidR="0038740A" w:rsidRPr="00945A0F">
        <w:rPr>
          <w:rFonts w:ascii="Arial" w:eastAsia="Arial" w:hAnsi="Arial" w:cs="Arial"/>
          <w:color w:val="000000"/>
          <w:sz w:val="24"/>
        </w:rPr>
        <w:t>Further, for individuals without a behavioral health condition, the trauma of experiencing homelessness can precipitate either mental illness and/or addiction.</w:t>
      </w:r>
      <w:r w:rsidRPr="002F1F94">
        <w:rPr>
          <w:rFonts w:ascii="Arial" w:eastAsia="Times New Roman" w:hAnsi="Arial" w:cs="Arial"/>
          <w:sz w:val="24"/>
          <w:szCs w:val="24"/>
        </w:rPr>
        <w:t xml:space="preserve"> </w:t>
      </w:r>
      <w:r w:rsidR="0038740A" w:rsidRPr="00945A0F">
        <w:rPr>
          <w:rFonts w:ascii="Arial" w:eastAsia="Times New Roman" w:hAnsi="Arial" w:cs="Arial"/>
          <w:sz w:val="24"/>
          <w:szCs w:val="24"/>
        </w:rPr>
        <w:t>Additionally</w:t>
      </w:r>
      <w:r w:rsidR="0038740A" w:rsidRPr="002F1F94">
        <w:rPr>
          <w:rFonts w:ascii="Arial" w:eastAsia="Times New Roman" w:hAnsi="Arial" w:cs="Arial"/>
          <w:sz w:val="24"/>
          <w:szCs w:val="24"/>
        </w:rPr>
        <w:t>, h</w:t>
      </w:r>
      <w:r w:rsidRPr="002F1F94">
        <w:rPr>
          <w:rFonts w:ascii="Arial" w:eastAsia="Times New Roman" w:hAnsi="Arial" w:cs="Arial"/>
          <w:sz w:val="24"/>
          <w:szCs w:val="24"/>
        </w:rPr>
        <w:t xml:space="preserve">omelessness disproportionately affects Californians of color. For example, African Americans comprise 40% of the homeless population while only 6.5% of the general population. </w:t>
      </w:r>
    </w:p>
    <w:p w14:paraId="49F21233" w14:textId="77777777" w:rsidR="00A84255" w:rsidRPr="002F1F94" w:rsidRDefault="00A84255" w:rsidP="00A84255">
      <w:pPr>
        <w:rPr>
          <w:rFonts w:ascii="Arial" w:eastAsia="Times New Roman" w:hAnsi="Arial" w:cs="Arial"/>
          <w:sz w:val="24"/>
          <w:szCs w:val="24"/>
        </w:rPr>
      </w:pPr>
    </w:p>
    <w:p w14:paraId="66B10A2A" w14:textId="4342F5CD"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The </w:t>
      </w:r>
      <w:r w:rsidR="00CF3E27">
        <w:rPr>
          <w:rFonts w:ascii="Arial" w:eastAsia="Times New Roman" w:hAnsi="Arial" w:cs="Arial"/>
          <w:sz w:val="24"/>
          <w:szCs w:val="24"/>
        </w:rPr>
        <w:t>s</w:t>
      </w:r>
      <w:r w:rsidRPr="002F1F94">
        <w:rPr>
          <w:rFonts w:ascii="Arial" w:eastAsia="Times New Roman" w:hAnsi="Arial" w:cs="Arial"/>
          <w:sz w:val="24"/>
          <w:szCs w:val="24"/>
        </w:rPr>
        <w:t>tate must establish in law that it is no</w:t>
      </w:r>
      <w:r w:rsidR="00CF3E27">
        <w:rPr>
          <w:rFonts w:ascii="Arial" w:eastAsia="Times New Roman" w:hAnsi="Arial" w:cs="Arial"/>
          <w:sz w:val="24"/>
          <w:szCs w:val="24"/>
        </w:rPr>
        <w:t>t</w:t>
      </w:r>
      <w:r w:rsidRPr="002F1F94">
        <w:rPr>
          <w:rFonts w:ascii="Arial" w:eastAsia="Times New Roman" w:hAnsi="Arial" w:cs="Arial"/>
          <w:sz w:val="24"/>
          <w:szCs w:val="24"/>
        </w:rPr>
        <w:t xml:space="preserve"> morally or legally acceptable to deny housing for people on the streets</w:t>
      </w:r>
      <w:r w:rsidR="00A66ED5">
        <w:rPr>
          <w:rFonts w:ascii="Arial" w:eastAsia="Times New Roman" w:hAnsi="Arial" w:cs="Arial"/>
          <w:sz w:val="24"/>
          <w:szCs w:val="24"/>
        </w:rPr>
        <w:t xml:space="preserve"> </w:t>
      </w:r>
      <w:r w:rsidRPr="002F1F94">
        <w:rPr>
          <w:rFonts w:ascii="Arial" w:eastAsia="Times New Roman" w:hAnsi="Arial" w:cs="Arial"/>
          <w:sz w:val="24"/>
          <w:szCs w:val="24"/>
        </w:rPr>
        <w:t xml:space="preserve">and create the legal mandates and funding mechanisms necessary to dramatically improve this unacceptable condition. </w:t>
      </w:r>
    </w:p>
    <w:p w14:paraId="30DFCCB8"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14BD720F"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All levels of government responsible for and impacted by this crisis must demonstrate a greater sense of urgency. Governor Newsom, you have forcefully articulated why reducing homelessness must be the priority for every level of government, including the state. You have budgeted unprecedented resources to begin a statewide effort.</w:t>
      </w:r>
    </w:p>
    <w:p w14:paraId="42CD5A4D"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5B0E264B" w14:textId="04812332"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Homelessness, especially unsheltered homelessness, must be viewed as a </w:t>
      </w:r>
      <w:r w:rsidR="009E6DB0">
        <w:rPr>
          <w:rFonts w:ascii="Arial" w:eastAsia="Times New Roman" w:hAnsi="Arial" w:cs="Arial"/>
          <w:sz w:val="24"/>
          <w:szCs w:val="24"/>
        </w:rPr>
        <w:t xml:space="preserve">humanitarian </w:t>
      </w:r>
      <w:r w:rsidRPr="002F1F94">
        <w:rPr>
          <w:rFonts w:ascii="Arial" w:eastAsia="Times New Roman" w:hAnsi="Arial" w:cs="Arial"/>
          <w:sz w:val="24"/>
          <w:szCs w:val="24"/>
        </w:rPr>
        <w:t>crisis tantamount to any sustained natural disaster. State government must deploy even more</w:t>
      </w:r>
      <w:r w:rsidR="0038740A" w:rsidRPr="002F1F94">
        <w:rPr>
          <w:rFonts w:ascii="Arial" w:eastAsia="Times New Roman" w:hAnsi="Arial" w:cs="Arial"/>
          <w:sz w:val="24"/>
          <w:szCs w:val="24"/>
        </w:rPr>
        <w:t xml:space="preserve"> </w:t>
      </w:r>
      <w:r w:rsidR="0038740A" w:rsidRPr="00945A0F">
        <w:rPr>
          <w:rFonts w:ascii="Arial" w:eastAsia="Times New Roman" w:hAnsi="Arial" w:cs="Arial"/>
          <w:sz w:val="24"/>
          <w:szCs w:val="24"/>
        </w:rPr>
        <w:t>funding,</w:t>
      </w:r>
      <w:r w:rsidRPr="002F1F94">
        <w:rPr>
          <w:rFonts w:ascii="Arial" w:eastAsia="Times New Roman" w:hAnsi="Arial" w:cs="Arial"/>
          <w:sz w:val="24"/>
          <w:szCs w:val="24"/>
        </w:rPr>
        <w:t xml:space="preserve"> expertise, personnel and authority in its response to the current reality. Data demonstrates that </w:t>
      </w:r>
      <w:r w:rsidR="009E6DB0">
        <w:rPr>
          <w:rFonts w:ascii="Arial" w:eastAsia="Times New Roman" w:hAnsi="Arial" w:cs="Arial"/>
          <w:sz w:val="24"/>
          <w:szCs w:val="24"/>
        </w:rPr>
        <w:t xml:space="preserve">the </w:t>
      </w:r>
      <w:r w:rsidRPr="002F1F94">
        <w:rPr>
          <w:rFonts w:ascii="Arial" w:eastAsia="Times New Roman" w:hAnsi="Arial" w:cs="Arial"/>
          <w:sz w:val="24"/>
          <w:szCs w:val="24"/>
        </w:rPr>
        <w:t xml:space="preserve">vast majority of homeless individuals </w:t>
      </w:r>
      <w:r w:rsidR="009E6DB0">
        <w:rPr>
          <w:rFonts w:ascii="Arial" w:eastAsia="Times New Roman" w:hAnsi="Arial" w:cs="Arial"/>
          <w:sz w:val="24"/>
          <w:szCs w:val="24"/>
        </w:rPr>
        <w:t xml:space="preserve">in California </w:t>
      </w:r>
      <w:r w:rsidRPr="002F1F94">
        <w:rPr>
          <w:rFonts w:ascii="Arial" w:eastAsia="Times New Roman" w:hAnsi="Arial" w:cs="Arial"/>
          <w:sz w:val="24"/>
          <w:szCs w:val="24"/>
        </w:rPr>
        <w:t xml:space="preserve">are from </w:t>
      </w:r>
      <w:r w:rsidR="009E6DB0">
        <w:rPr>
          <w:rFonts w:ascii="Arial" w:eastAsia="Times New Roman" w:hAnsi="Arial" w:cs="Arial"/>
          <w:sz w:val="24"/>
          <w:szCs w:val="24"/>
        </w:rPr>
        <w:t xml:space="preserve">our </w:t>
      </w:r>
      <w:r w:rsidR="00A66ED5">
        <w:rPr>
          <w:rFonts w:ascii="Arial" w:eastAsia="Times New Roman" w:hAnsi="Arial" w:cs="Arial"/>
          <w:sz w:val="24"/>
          <w:szCs w:val="24"/>
        </w:rPr>
        <w:t>state and</w:t>
      </w:r>
      <w:r w:rsidRPr="002F1F94">
        <w:rPr>
          <w:rFonts w:ascii="Arial" w:eastAsia="Times New Roman" w:hAnsi="Arial" w:cs="Arial"/>
          <w:sz w:val="24"/>
          <w:szCs w:val="24"/>
        </w:rPr>
        <w:t xml:space="preserve"> became homeless in the same communities where they are now unhoused. </w:t>
      </w:r>
      <w:r w:rsidR="00B7579B" w:rsidRPr="002F1F94">
        <w:rPr>
          <w:rFonts w:ascii="Arial" w:eastAsia="Times New Roman" w:hAnsi="Arial" w:cs="Arial"/>
          <w:sz w:val="24"/>
          <w:szCs w:val="24"/>
        </w:rPr>
        <w:t xml:space="preserve">We know too that thousands of veterans remain on our streets, an intolerable situation that demands remedy. </w:t>
      </w:r>
    </w:p>
    <w:p w14:paraId="48E001C8" w14:textId="77777777" w:rsidR="00B7579B" w:rsidRPr="002F1F94" w:rsidRDefault="00B7579B" w:rsidP="00A84255">
      <w:pPr>
        <w:rPr>
          <w:rFonts w:ascii="Arial" w:eastAsia="Times New Roman" w:hAnsi="Arial" w:cs="Arial"/>
          <w:sz w:val="24"/>
          <w:szCs w:val="24"/>
        </w:rPr>
      </w:pPr>
    </w:p>
    <w:p w14:paraId="54B13D22" w14:textId="6466A9E0"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California must have a set of clear public policies that scale </w:t>
      </w:r>
      <w:r w:rsidR="009E6DB0">
        <w:rPr>
          <w:rFonts w:ascii="Arial" w:eastAsia="Times New Roman" w:hAnsi="Arial" w:cs="Arial"/>
          <w:sz w:val="24"/>
          <w:szCs w:val="24"/>
        </w:rPr>
        <w:t xml:space="preserve">up </w:t>
      </w:r>
      <w:r w:rsidRPr="002F1F94">
        <w:rPr>
          <w:rFonts w:ascii="Arial" w:eastAsia="Times New Roman" w:hAnsi="Arial" w:cs="Arial"/>
          <w:sz w:val="24"/>
          <w:szCs w:val="24"/>
        </w:rPr>
        <w:t xml:space="preserve">what we know works to </w:t>
      </w:r>
      <w:r w:rsidR="009E6DB0">
        <w:rPr>
          <w:rFonts w:ascii="Arial" w:eastAsia="Times New Roman" w:hAnsi="Arial" w:cs="Arial"/>
          <w:sz w:val="24"/>
          <w:szCs w:val="24"/>
        </w:rPr>
        <w:t xml:space="preserve">prevent and end homelessness to </w:t>
      </w:r>
      <w:r w:rsidRPr="002F1F94">
        <w:rPr>
          <w:rFonts w:ascii="Arial" w:eastAsia="Times New Roman" w:hAnsi="Arial" w:cs="Arial"/>
          <w:sz w:val="24"/>
          <w:szCs w:val="24"/>
        </w:rPr>
        <w:t xml:space="preserve">a level required to abate this </w:t>
      </w:r>
      <w:r w:rsidR="0038740A" w:rsidRPr="00945A0F">
        <w:rPr>
          <w:rFonts w:ascii="Arial" w:eastAsia="Times New Roman" w:hAnsi="Arial" w:cs="Arial"/>
          <w:sz w:val="24"/>
          <w:szCs w:val="24"/>
        </w:rPr>
        <w:t>mounting</w:t>
      </w:r>
      <w:r w:rsidRPr="002F1F94">
        <w:rPr>
          <w:rFonts w:ascii="Arial" w:eastAsia="Times New Roman" w:hAnsi="Arial" w:cs="Arial"/>
          <w:sz w:val="24"/>
          <w:szCs w:val="24"/>
        </w:rPr>
        <w:t xml:space="preserve"> catastrophe, </w:t>
      </w:r>
      <w:r w:rsidR="009E6DB0">
        <w:rPr>
          <w:rFonts w:ascii="Arial" w:eastAsia="Times New Roman" w:hAnsi="Arial" w:cs="Arial"/>
          <w:sz w:val="24"/>
          <w:szCs w:val="24"/>
        </w:rPr>
        <w:t xml:space="preserve">that </w:t>
      </w:r>
      <w:r w:rsidRPr="002F1F94">
        <w:rPr>
          <w:rFonts w:ascii="Arial" w:eastAsia="Times New Roman" w:hAnsi="Arial" w:cs="Arial"/>
          <w:sz w:val="24"/>
          <w:szCs w:val="24"/>
        </w:rPr>
        <w:t xml:space="preserve">rationally prioritize housing and services based on need, and </w:t>
      </w:r>
      <w:r w:rsidR="009E6DB0">
        <w:rPr>
          <w:rFonts w:ascii="Arial" w:eastAsia="Times New Roman" w:hAnsi="Arial" w:cs="Arial"/>
          <w:sz w:val="24"/>
          <w:szCs w:val="24"/>
        </w:rPr>
        <w:t xml:space="preserve">that </w:t>
      </w:r>
      <w:r w:rsidRPr="002F1F94">
        <w:rPr>
          <w:rFonts w:ascii="Arial" w:eastAsia="Times New Roman" w:hAnsi="Arial" w:cs="Arial"/>
          <w:sz w:val="24"/>
          <w:szCs w:val="24"/>
        </w:rPr>
        <w:t>prevent the dramatic spike in homelessness from ever happening again.</w:t>
      </w:r>
    </w:p>
    <w:p w14:paraId="2E831546"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75D3E2B0"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We recommend the following:  </w:t>
      </w:r>
    </w:p>
    <w:p w14:paraId="5CAC65FC"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5CD14BB0"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b/>
          <w:bCs/>
          <w:sz w:val="24"/>
          <w:szCs w:val="24"/>
          <w:u w:val="single"/>
        </w:rPr>
        <w:t>Adopt a Comprehensive Crisis Response Strategy</w:t>
      </w:r>
    </w:p>
    <w:p w14:paraId="6451824A"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26004B8B" w14:textId="52E1398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We believe it is important to chart a vision for a Comprehensive Crisis Response that provides the public with a cohesive picture of where California has been, where we need to go, and how we will get there. The draft Comprehensive Crisis Response working document shared on November 4, </w:t>
      </w:r>
      <w:r w:rsidR="00103A83" w:rsidRPr="002F1F94">
        <w:rPr>
          <w:rFonts w:ascii="Arial" w:eastAsia="Times New Roman" w:hAnsi="Arial" w:cs="Arial"/>
          <w:sz w:val="24"/>
          <w:szCs w:val="24"/>
        </w:rPr>
        <w:t>revised with input from Council members on Dec</w:t>
      </w:r>
      <w:r w:rsidR="009E6DB0">
        <w:rPr>
          <w:rFonts w:ascii="Arial" w:eastAsia="Times New Roman" w:hAnsi="Arial" w:cs="Arial"/>
          <w:sz w:val="24"/>
          <w:szCs w:val="24"/>
        </w:rPr>
        <w:t>.</w:t>
      </w:r>
      <w:r w:rsidR="00103A83" w:rsidRPr="002F1F94">
        <w:rPr>
          <w:rFonts w:ascii="Arial" w:eastAsia="Times New Roman" w:hAnsi="Arial" w:cs="Arial"/>
          <w:sz w:val="24"/>
          <w:szCs w:val="24"/>
        </w:rPr>
        <w:t xml:space="preserve"> 20, </w:t>
      </w:r>
      <w:r w:rsidRPr="002F1F94">
        <w:rPr>
          <w:rFonts w:ascii="Arial" w:eastAsia="Times New Roman" w:hAnsi="Arial" w:cs="Arial"/>
          <w:sz w:val="24"/>
          <w:szCs w:val="24"/>
        </w:rPr>
        <w:t xml:space="preserve">provides preliminary ideas about how the </w:t>
      </w:r>
      <w:r w:rsidR="009E6DB0">
        <w:rPr>
          <w:rFonts w:ascii="Arial" w:eastAsia="Times New Roman" w:hAnsi="Arial" w:cs="Arial"/>
          <w:sz w:val="24"/>
          <w:szCs w:val="24"/>
        </w:rPr>
        <w:t>s</w:t>
      </w:r>
      <w:r w:rsidRPr="002F1F94">
        <w:rPr>
          <w:rFonts w:ascii="Arial" w:eastAsia="Times New Roman" w:hAnsi="Arial" w:cs="Arial"/>
          <w:sz w:val="24"/>
          <w:szCs w:val="24"/>
        </w:rPr>
        <w:t>tate could act with even greater urgency</w:t>
      </w:r>
      <w:r w:rsidR="0038740A" w:rsidRPr="002F1F94">
        <w:rPr>
          <w:rFonts w:ascii="Arial" w:eastAsia="Times New Roman" w:hAnsi="Arial" w:cs="Arial"/>
          <w:sz w:val="24"/>
          <w:szCs w:val="24"/>
        </w:rPr>
        <w:t>.</w:t>
      </w:r>
    </w:p>
    <w:p w14:paraId="745ED43B"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7500D93C" w14:textId="73D08E5D"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The Comprehensive crisis response strategy must begin with an honest admission that we lack clarity regarding which levels of government are or should be responsible for funding and implementing various aspects of a response to the crisis of homelessness and the</w:t>
      </w:r>
      <w:r w:rsidR="009E6DB0">
        <w:rPr>
          <w:rFonts w:ascii="Arial" w:eastAsia="Times New Roman" w:hAnsi="Arial" w:cs="Arial"/>
          <w:sz w:val="24"/>
          <w:szCs w:val="24"/>
        </w:rPr>
        <w:t xml:space="preserve"> lack of </w:t>
      </w:r>
      <w:r w:rsidRPr="002F1F94">
        <w:rPr>
          <w:rFonts w:ascii="Arial" w:eastAsia="Times New Roman" w:hAnsi="Arial" w:cs="Arial"/>
          <w:sz w:val="24"/>
          <w:szCs w:val="24"/>
        </w:rPr>
        <w:t xml:space="preserve">housing for extremely low-income people. In California, almost all public social services programs are delegated to counties, with state/county cost-sharing relationships, but only a limited number of homeless services have been included in that suite of social services. Health and mental health services are contracted by the </w:t>
      </w:r>
      <w:r w:rsidR="009E6DB0">
        <w:rPr>
          <w:rFonts w:ascii="Arial" w:eastAsia="Times New Roman" w:hAnsi="Arial" w:cs="Arial"/>
          <w:sz w:val="24"/>
          <w:szCs w:val="24"/>
        </w:rPr>
        <w:t>s</w:t>
      </w:r>
      <w:r w:rsidRPr="002F1F94">
        <w:rPr>
          <w:rFonts w:ascii="Arial" w:eastAsia="Times New Roman" w:hAnsi="Arial" w:cs="Arial"/>
          <w:sz w:val="24"/>
          <w:szCs w:val="24"/>
        </w:rPr>
        <w:t xml:space="preserve">tate </w:t>
      </w:r>
      <w:r w:rsidRPr="002F1F94">
        <w:rPr>
          <w:rFonts w:ascii="Arial" w:eastAsia="Times New Roman" w:hAnsi="Arial" w:cs="Arial"/>
          <w:sz w:val="24"/>
          <w:szCs w:val="24"/>
        </w:rPr>
        <w:lastRenderedPageBreak/>
        <w:t xml:space="preserve">through counties to a mix of private and public providers. In most parts of the state, cities are responsible for housing, land use, and facility siting, but not for provision of social and health services. The </w:t>
      </w:r>
      <w:r w:rsidR="009E6DB0">
        <w:rPr>
          <w:rFonts w:ascii="Arial" w:eastAsia="Times New Roman" w:hAnsi="Arial" w:cs="Arial"/>
          <w:sz w:val="24"/>
          <w:szCs w:val="24"/>
        </w:rPr>
        <w:t>s</w:t>
      </w:r>
      <w:r w:rsidRPr="002F1F94">
        <w:rPr>
          <w:rFonts w:ascii="Arial" w:eastAsia="Times New Roman" w:hAnsi="Arial" w:cs="Arial"/>
          <w:sz w:val="24"/>
          <w:szCs w:val="24"/>
        </w:rPr>
        <w:t xml:space="preserve">tate has made a major recent investment in support of homeless interventions and services, but the investments are largely time limited. The state agencies with funding and policy jurisdiction over homelessness have not pooled resources or strategies to present a single, comprehensive state response. </w:t>
      </w:r>
    </w:p>
    <w:p w14:paraId="3C9AD21A"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1A7AFA4D" w14:textId="18126C2F"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A necessary precondition of moving forward with </w:t>
      </w:r>
      <w:r w:rsidR="0087773A">
        <w:rPr>
          <w:rFonts w:ascii="Arial" w:eastAsia="Times New Roman" w:hAnsi="Arial" w:cs="Arial"/>
          <w:sz w:val="24"/>
          <w:szCs w:val="24"/>
        </w:rPr>
        <w:t>our</w:t>
      </w:r>
      <w:r w:rsidRPr="002F1F94">
        <w:rPr>
          <w:rFonts w:ascii="Arial" w:eastAsia="Times New Roman" w:hAnsi="Arial" w:cs="Arial"/>
          <w:sz w:val="24"/>
          <w:szCs w:val="24"/>
        </w:rPr>
        <w:t xml:space="preserve"> recommendations is assigning responsibility for both the resources needed and the responsibilities for implementation.  </w:t>
      </w:r>
    </w:p>
    <w:p w14:paraId="7AE1210E"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29BE020F" w14:textId="45017E6E" w:rsidR="00A84255" w:rsidRPr="002F1F94" w:rsidRDefault="00A84255" w:rsidP="00A84255">
      <w:pPr>
        <w:rPr>
          <w:rFonts w:ascii="Arial" w:eastAsia="Times New Roman" w:hAnsi="Arial" w:cs="Arial"/>
          <w:sz w:val="24"/>
          <w:szCs w:val="24"/>
        </w:rPr>
      </w:pPr>
      <w:r w:rsidRPr="002F1F94">
        <w:rPr>
          <w:rFonts w:ascii="Arial" w:eastAsia="Times New Roman" w:hAnsi="Arial" w:cs="Arial"/>
          <w:b/>
          <w:bCs/>
          <w:sz w:val="24"/>
          <w:szCs w:val="24"/>
          <w:u w:val="single"/>
        </w:rPr>
        <w:t xml:space="preserve">Create an Enforceable, Results-Based Accountability Mandate to </w:t>
      </w:r>
      <w:r w:rsidR="00AA5588" w:rsidRPr="002F1F94">
        <w:rPr>
          <w:rFonts w:ascii="Arial" w:eastAsia="Times New Roman" w:hAnsi="Arial" w:cs="Arial"/>
          <w:b/>
          <w:bCs/>
          <w:sz w:val="24"/>
          <w:szCs w:val="24"/>
          <w:u w:val="single"/>
        </w:rPr>
        <w:t>End Homelessness</w:t>
      </w:r>
    </w:p>
    <w:p w14:paraId="7961C98B"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377DE05E"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There are few other areas of important public policy where government efforts to achieve a compelling societal objective are purely voluntary. We have a renewable energy mandate in California that requires public agencies to achieve a quantifiable increase of renewable energy sources according to specific timetables. This requirement is changing California’s energy use in dramatic fashion. California mandates free public education for all of its children and subsidized health insurance for its low-income residents. It requires its subdivisions to provide services to people with developmental disabilities and foster children.</w:t>
      </w:r>
    </w:p>
    <w:p w14:paraId="73154E30" w14:textId="77777777" w:rsidR="00A84255" w:rsidRPr="002F1F94" w:rsidRDefault="00A84255" w:rsidP="00A84255">
      <w:pPr>
        <w:rPr>
          <w:rFonts w:ascii="Arial" w:eastAsia="Times New Roman" w:hAnsi="Arial" w:cs="Arial"/>
          <w:sz w:val="24"/>
          <w:szCs w:val="24"/>
        </w:rPr>
      </w:pPr>
    </w:p>
    <w:p w14:paraId="136571B0" w14:textId="1F35F1B4"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Homelessness is a crisis of epic and increasing magnitude. Yet everything that state, county and city governments do to alleviate this crisis is voluntary. There is no mandate to </w:t>
      </w:r>
      <w:r w:rsidR="00180733">
        <w:rPr>
          <w:rFonts w:ascii="Arial" w:eastAsia="Times New Roman" w:hAnsi="Arial" w:cs="Arial"/>
          <w:sz w:val="24"/>
          <w:szCs w:val="24"/>
        </w:rPr>
        <w:t>ensure people can live</w:t>
      </w:r>
      <w:r w:rsidRPr="002F1F94">
        <w:rPr>
          <w:rFonts w:ascii="Arial" w:eastAsia="Times New Roman" w:hAnsi="Arial" w:cs="Arial"/>
          <w:sz w:val="24"/>
          <w:szCs w:val="24"/>
        </w:rPr>
        <w:t xml:space="preserve"> indoors, no legal accountability for failing to do so, no</w:t>
      </w:r>
      <w:r w:rsidR="000569AD" w:rsidRPr="002F1F94">
        <w:rPr>
          <w:rFonts w:ascii="Arial" w:eastAsia="Times New Roman" w:hAnsi="Arial" w:cs="Arial"/>
          <w:sz w:val="24"/>
          <w:szCs w:val="24"/>
        </w:rPr>
        <w:t xml:space="preserve"> enforceable</w:t>
      </w:r>
      <w:r w:rsidRPr="002F1F94">
        <w:rPr>
          <w:rFonts w:ascii="Arial" w:eastAsia="Times New Roman" w:hAnsi="Arial" w:cs="Arial"/>
          <w:sz w:val="24"/>
          <w:szCs w:val="24"/>
        </w:rPr>
        <w:t xml:space="preserve"> housing production standard and no requirement to consolidate and coordinate funding streams across jurisdictions. The results speak for themselves.</w:t>
      </w:r>
    </w:p>
    <w:p w14:paraId="35C7364B" w14:textId="77777777" w:rsidR="00A84255" w:rsidRPr="002F1F94" w:rsidRDefault="00A84255" w:rsidP="00A84255">
      <w:pPr>
        <w:rPr>
          <w:rFonts w:ascii="Arial" w:eastAsia="Times New Roman" w:hAnsi="Arial" w:cs="Arial"/>
          <w:sz w:val="24"/>
          <w:szCs w:val="24"/>
        </w:rPr>
      </w:pPr>
    </w:p>
    <w:p w14:paraId="367AAE6B" w14:textId="6DBF25B0"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Advocates, providers, and government have attempted to use moral persuasion and economic incentives to change the current reality. Neither has had the essential impact to bring all of our neighbors inside.</w:t>
      </w:r>
      <w:r w:rsidR="00856E54" w:rsidRPr="002F1F94">
        <w:rPr>
          <w:rFonts w:ascii="Arial" w:eastAsia="Times New Roman" w:hAnsi="Arial" w:cs="Arial"/>
          <w:sz w:val="24"/>
          <w:szCs w:val="24"/>
        </w:rPr>
        <w:t xml:space="preserve"> </w:t>
      </w:r>
      <w:r w:rsidRPr="002F1F94">
        <w:rPr>
          <w:rFonts w:ascii="Arial" w:eastAsia="Times New Roman" w:hAnsi="Arial" w:cs="Arial"/>
          <w:sz w:val="24"/>
          <w:szCs w:val="24"/>
        </w:rPr>
        <w:t>It is past time to now REQUIRE what we all know is fair, compassionate, and necessary to save lives.</w:t>
      </w:r>
    </w:p>
    <w:p w14:paraId="1B820A2D" w14:textId="77777777" w:rsidR="00A84255" w:rsidRPr="002F1F94" w:rsidRDefault="00A84255" w:rsidP="00A84255">
      <w:pPr>
        <w:rPr>
          <w:rFonts w:ascii="Arial" w:eastAsia="Times New Roman" w:hAnsi="Arial" w:cs="Arial"/>
          <w:sz w:val="24"/>
          <w:szCs w:val="24"/>
        </w:rPr>
      </w:pPr>
    </w:p>
    <w:p w14:paraId="66CD28E0" w14:textId="4B647F98"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We propose that both state and local governments be held legally accountable to achieve the aims of dramatically reducing homelessness and creating avenues to rapid resolution. A legally enforceable, results-based, </w:t>
      </w:r>
      <w:r w:rsidR="000569AD" w:rsidRPr="002F1F94">
        <w:rPr>
          <w:rFonts w:ascii="Arial" w:eastAsia="Times New Roman" w:hAnsi="Arial" w:cs="Arial"/>
          <w:sz w:val="24"/>
          <w:szCs w:val="24"/>
        </w:rPr>
        <w:t>accountability</w:t>
      </w:r>
      <w:r w:rsidRPr="002F1F94">
        <w:rPr>
          <w:rFonts w:ascii="Arial" w:eastAsia="Times New Roman" w:hAnsi="Arial" w:cs="Arial"/>
          <w:sz w:val="24"/>
          <w:szCs w:val="24"/>
        </w:rPr>
        <w:t xml:space="preserve"> mandate will require state and local governments to provide resources for, and reduce barriers to, the creation of both interim and permanent housing</w:t>
      </w:r>
      <w:r w:rsidR="0087773A">
        <w:rPr>
          <w:rFonts w:ascii="Arial" w:eastAsia="Times New Roman" w:hAnsi="Arial" w:cs="Arial"/>
          <w:sz w:val="24"/>
          <w:szCs w:val="24"/>
        </w:rPr>
        <w:t xml:space="preserve"> that is high quality, low barrier and complies with fair housing rules.</w:t>
      </w:r>
    </w:p>
    <w:p w14:paraId="67A612FB" w14:textId="77777777" w:rsidR="00A84255" w:rsidRPr="002F1F94" w:rsidRDefault="00A84255" w:rsidP="00A84255">
      <w:pPr>
        <w:rPr>
          <w:rFonts w:ascii="Arial" w:eastAsia="Times New Roman" w:hAnsi="Arial" w:cs="Arial"/>
          <w:sz w:val="24"/>
          <w:szCs w:val="24"/>
        </w:rPr>
      </w:pPr>
    </w:p>
    <w:p w14:paraId="69331FD1" w14:textId="7089FB25"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In order to create genuine accountability, the legal mandate must be enforceable through a public right of action that requires state and local governments to create the capacity to bring unsheltered homeless people under a roof, including both funding and rapid approval and siting of interim housing, permanent housing, supportive services, and targeted prevention to reduce homelessness by the tens of thousands.</w:t>
      </w:r>
      <w:r w:rsidR="003A304C">
        <w:rPr>
          <w:rFonts w:ascii="Arial" w:eastAsia="Times New Roman" w:hAnsi="Arial" w:cs="Arial"/>
          <w:sz w:val="24"/>
          <w:szCs w:val="24"/>
        </w:rPr>
        <w:t xml:space="preserve"> </w:t>
      </w:r>
      <w:r w:rsidR="003816F9">
        <w:rPr>
          <w:rFonts w:ascii="Arial" w:eastAsia="Times New Roman" w:hAnsi="Arial" w:cs="Arial"/>
          <w:sz w:val="24"/>
          <w:szCs w:val="24"/>
        </w:rPr>
        <w:t>S</w:t>
      </w:r>
      <w:r w:rsidR="00856E54" w:rsidRPr="002F1F94">
        <w:rPr>
          <w:rFonts w:ascii="Arial" w:eastAsia="Times New Roman" w:hAnsi="Arial" w:cs="Arial"/>
          <w:sz w:val="24"/>
          <w:szCs w:val="24"/>
        </w:rPr>
        <w:t xml:space="preserve">weeps and criminalization have been shown not to work in this effort. Strategies that explicitly or implicitly encourage these actions will be unacceptable. </w:t>
      </w:r>
    </w:p>
    <w:p w14:paraId="69587FB2" w14:textId="77777777" w:rsidR="00A84255" w:rsidRPr="002F1F94" w:rsidRDefault="00A84255" w:rsidP="00A84255">
      <w:pPr>
        <w:rPr>
          <w:rFonts w:ascii="Arial" w:eastAsia="Times New Roman" w:hAnsi="Arial" w:cs="Arial"/>
          <w:sz w:val="24"/>
          <w:szCs w:val="24"/>
        </w:rPr>
      </w:pPr>
    </w:p>
    <w:p w14:paraId="0327C9A7" w14:textId="3D62A84C"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The mandate must include strict and </w:t>
      </w:r>
      <w:r w:rsidR="00AA5588" w:rsidRPr="002F1F94">
        <w:rPr>
          <w:rFonts w:ascii="Arial" w:eastAsia="Times New Roman" w:hAnsi="Arial" w:cs="Arial"/>
          <w:sz w:val="24"/>
          <w:szCs w:val="24"/>
        </w:rPr>
        <w:t>regular</w:t>
      </w:r>
      <w:r w:rsidRPr="002F1F94">
        <w:rPr>
          <w:rFonts w:ascii="Arial" w:eastAsia="Times New Roman" w:hAnsi="Arial" w:cs="Arial"/>
          <w:sz w:val="24"/>
          <w:szCs w:val="24"/>
        </w:rPr>
        <w:t xml:space="preserve"> reporting by the </w:t>
      </w:r>
      <w:r w:rsidR="0087773A">
        <w:rPr>
          <w:rFonts w:ascii="Arial" w:eastAsia="Times New Roman" w:hAnsi="Arial" w:cs="Arial"/>
          <w:sz w:val="24"/>
          <w:szCs w:val="24"/>
        </w:rPr>
        <w:t>s</w:t>
      </w:r>
      <w:r w:rsidRPr="002F1F94">
        <w:rPr>
          <w:rFonts w:ascii="Arial" w:eastAsia="Times New Roman" w:hAnsi="Arial" w:cs="Arial"/>
          <w:sz w:val="24"/>
          <w:szCs w:val="24"/>
        </w:rPr>
        <w:t>tate, cities, and counties on the number of homeless people</w:t>
      </w:r>
      <w:r w:rsidR="0087773A">
        <w:rPr>
          <w:rFonts w:ascii="Arial" w:eastAsia="Times New Roman" w:hAnsi="Arial" w:cs="Arial"/>
          <w:sz w:val="24"/>
          <w:szCs w:val="24"/>
        </w:rPr>
        <w:t>;</w:t>
      </w:r>
      <w:r w:rsidRPr="002F1F94">
        <w:rPr>
          <w:rFonts w:ascii="Arial" w:eastAsia="Times New Roman" w:hAnsi="Arial" w:cs="Arial"/>
          <w:sz w:val="24"/>
          <w:szCs w:val="24"/>
        </w:rPr>
        <w:t xml:space="preserve"> the jurisdiction’s capacity and rapid progress to both house them and address the underlying issues which caused or exacerbated their homelessness</w:t>
      </w:r>
      <w:r w:rsidR="0087773A">
        <w:rPr>
          <w:rFonts w:ascii="Arial" w:eastAsia="Times New Roman" w:hAnsi="Arial" w:cs="Arial"/>
          <w:sz w:val="24"/>
          <w:szCs w:val="24"/>
        </w:rPr>
        <w:t>;</w:t>
      </w:r>
      <w:r w:rsidRPr="002F1F94">
        <w:rPr>
          <w:rFonts w:ascii="Arial" w:eastAsia="Times New Roman" w:hAnsi="Arial" w:cs="Arial"/>
          <w:sz w:val="24"/>
          <w:szCs w:val="24"/>
        </w:rPr>
        <w:t xml:space="preserve"> respective efforts to prevent them re-entering or becoming newly homeless</w:t>
      </w:r>
      <w:r w:rsidR="0087773A">
        <w:rPr>
          <w:rFonts w:ascii="Arial" w:eastAsia="Times New Roman" w:hAnsi="Arial" w:cs="Arial"/>
          <w:sz w:val="24"/>
          <w:szCs w:val="24"/>
        </w:rPr>
        <w:t>;</w:t>
      </w:r>
      <w:r w:rsidRPr="002F1F94">
        <w:rPr>
          <w:rFonts w:ascii="Arial" w:eastAsia="Times New Roman" w:hAnsi="Arial" w:cs="Arial"/>
          <w:sz w:val="24"/>
          <w:szCs w:val="24"/>
        </w:rPr>
        <w:t xml:space="preserve"> steps taken to </w:t>
      </w:r>
      <w:r w:rsidR="0087773A">
        <w:rPr>
          <w:rFonts w:ascii="Arial" w:eastAsia="Times New Roman" w:hAnsi="Arial" w:cs="Arial"/>
          <w:sz w:val="24"/>
          <w:szCs w:val="24"/>
        </w:rPr>
        <w:t xml:space="preserve">ensure that </w:t>
      </w:r>
      <w:r w:rsidRPr="002F1F94">
        <w:rPr>
          <w:rFonts w:ascii="Arial" w:eastAsia="Times New Roman" w:hAnsi="Arial" w:cs="Arial"/>
          <w:sz w:val="24"/>
          <w:szCs w:val="24"/>
        </w:rPr>
        <w:t xml:space="preserve">exits from jails, hospitals, and foster care </w:t>
      </w:r>
      <w:r w:rsidR="0087773A">
        <w:rPr>
          <w:rFonts w:ascii="Arial" w:eastAsia="Times New Roman" w:hAnsi="Arial" w:cs="Arial"/>
          <w:sz w:val="24"/>
          <w:szCs w:val="24"/>
        </w:rPr>
        <w:t xml:space="preserve">do not result in </w:t>
      </w:r>
      <w:r w:rsidRPr="002F1F94">
        <w:rPr>
          <w:rFonts w:ascii="Arial" w:eastAsia="Times New Roman" w:hAnsi="Arial" w:cs="Arial"/>
          <w:sz w:val="24"/>
          <w:szCs w:val="24"/>
        </w:rPr>
        <w:t>homelessness</w:t>
      </w:r>
      <w:r w:rsidR="0087773A">
        <w:rPr>
          <w:rFonts w:ascii="Arial" w:eastAsia="Times New Roman" w:hAnsi="Arial" w:cs="Arial"/>
          <w:sz w:val="24"/>
          <w:szCs w:val="24"/>
        </w:rPr>
        <w:t>;</w:t>
      </w:r>
      <w:r w:rsidRPr="002F1F94">
        <w:rPr>
          <w:rFonts w:ascii="Arial" w:eastAsia="Times New Roman" w:hAnsi="Arial" w:cs="Arial"/>
          <w:sz w:val="24"/>
          <w:szCs w:val="24"/>
        </w:rPr>
        <w:t xml:space="preserve"> and the steps </w:t>
      </w:r>
      <w:r w:rsidR="0087773A">
        <w:rPr>
          <w:rFonts w:ascii="Arial" w:eastAsia="Times New Roman" w:hAnsi="Arial" w:cs="Arial"/>
          <w:sz w:val="24"/>
          <w:szCs w:val="24"/>
        </w:rPr>
        <w:t xml:space="preserve">being taken to </w:t>
      </w:r>
      <w:r w:rsidRPr="002F1F94">
        <w:rPr>
          <w:rFonts w:ascii="Arial" w:eastAsia="Times New Roman" w:hAnsi="Arial" w:cs="Arial"/>
          <w:sz w:val="24"/>
          <w:szCs w:val="24"/>
        </w:rPr>
        <w:t xml:space="preserve"> close deficits in these areas.</w:t>
      </w:r>
    </w:p>
    <w:p w14:paraId="286FB40E"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231C19A8" w14:textId="49BF38A0" w:rsidR="00B859FE" w:rsidRPr="00945A0F" w:rsidRDefault="00B859FE" w:rsidP="00B859FE">
      <w:pPr>
        <w:rPr>
          <w:rFonts w:ascii="Arial" w:eastAsia="Times New Roman" w:hAnsi="Arial" w:cs="Arial"/>
          <w:sz w:val="24"/>
          <w:szCs w:val="24"/>
        </w:rPr>
      </w:pPr>
      <w:r w:rsidRPr="00945A0F">
        <w:rPr>
          <w:rFonts w:ascii="Arial" w:eastAsia="Times New Roman" w:hAnsi="Arial" w:cs="Arial"/>
          <w:sz w:val="24"/>
          <w:szCs w:val="24"/>
        </w:rPr>
        <w:t>Enacting a</w:t>
      </w:r>
      <w:r w:rsidR="003C788D">
        <w:rPr>
          <w:rFonts w:ascii="Arial" w:eastAsia="Times New Roman" w:hAnsi="Arial" w:cs="Arial"/>
          <w:sz w:val="24"/>
          <w:szCs w:val="24"/>
        </w:rPr>
        <w:t xml:space="preserve"> legally </w:t>
      </w:r>
      <w:r w:rsidRPr="00945A0F">
        <w:rPr>
          <w:rFonts w:ascii="Arial" w:eastAsia="Times New Roman" w:hAnsi="Arial" w:cs="Arial"/>
          <w:sz w:val="24"/>
          <w:szCs w:val="24"/>
        </w:rPr>
        <w:t>enforceable</w:t>
      </w:r>
      <w:r w:rsidR="003C788D">
        <w:rPr>
          <w:rFonts w:ascii="Arial" w:eastAsia="Times New Roman" w:hAnsi="Arial" w:cs="Arial"/>
          <w:sz w:val="24"/>
          <w:szCs w:val="24"/>
        </w:rPr>
        <w:t>, results-based accountability</w:t>
      </w:r>
      <w:r w:rsidRPr="00945A0F">
        <w:rPr>
          <w:rFonts w:ascii="Arial" w:eastAsia="Times New Roman" w:hAnsi="Arial" w:cs="Arial"/>
          <w:sz w:val="24"/>
          <w:szCs w:val="24"/>
        </w:rPr>
        <w:t xml:space="preserve"> mandate will require a constitutional amendment because of its</w:t>
      </w:r>
      <w:r w:rsidR="007C5458">
        <w:rPr>
          <w:rFonts w:ascii="Arial" w:eastAsia="Times New Roman" w:hAnsi="Arial" w:cs="Arial"/>
          <w:sz w:val="24"/>
          <w:szCs w:val="24"/>
        </w:rPr>
        <w:t xml:space="preserve"> fiscal</w:t>
      </w:r>
      <w:r w:rsidRPr="00945A0F">
        <w:rPr>
          <w:rFonts w:ascii="Arial" w:eastAsia="Times New Roman" w:hAnsi="Arial" w:cs="Arial"/>
          <w:sz w:val="24"/>
          <w:szCs w:val="24"/>
        </w:rPr>
        <w:t xml:space="preserve"> impact </w:t>
      </w:r>
      <w:r w:rsidR="007C5458">
        <w:rPr>
          <w:rFonts w:ascii="Arial" w:eastAsia="Times New Roman" w:hAnsi="Arial" w:cs="Arial"/>
          <w:sz w:val="24"/>
          <w:szCs w:val="24"/>
        </w:rPr>
        <w:t>relating to</w:t>
      </w:r>
      <w:r w:rsidRPr="00945A0F">
        <w:rPr>
          <w:rFonts w:ascii="Arial" w:eastAsia="Times New Roman" w:hAnsi="Arial" w:cs="Arial"/>
          <w:sz w:val="24"/>
          <w:szCs w:val="24"/>
        </w:rPr>
        <w:t xml:space="preserve"> state mandate laws. The task force recommends the constitutional amendment creating the enforceable mandate be placed on the ballot by the Legislature in 2020. </w:t>
      </w:r>
    </w:p>
    <w:p w14:paraId="41CAFB6B" w14:textId="77777777" w:rsidR="00B859FE" w:rsidRDefault="00B859FE" w:rsidP="00A84255">
      <w:pPr>
        <w:rPr>
          <w:rFonts w:ascii="Arial" w:eastAsia="Times New Roman" w:hAnsi="Arial" w:cs="Arial"/>
          <w:sz w:val="24"/>
          <w:szCs w:val="24"/>
        </w:rPr>
      </w:pPr>
    </w:p>
    <w:p w14:paraId="605B5341" w14:textId="0CDF31AC"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Here is how the enforceable accountability mandate could work under law: </w:t>
      </w:r>
      <w:r w:rsidR="0087773A">
        <w:rPr>
          <w:rFonts w:ascii="Arial" w:eastAsia="Times New Roman" w:hAnsi="Arial" w:cs="Arial"/>
          <w:sz w:val="24"/>
          <w:szCs w:val="24"/>
        </w:rPr>
        <w:t>W</w:t>
      </w:r>
      <w:r w:rsidRPr="002F1F94">
        <w:rPr>
          <w:rFonts w:ascii="Arial" w:eastAsia="Times New Roman" w:hAnsi="Arial" w:cs="Arial"/>
          <w:sz w:val="24"/>
          <w:szCs w:val="24"/>
        </w:rPr>
        <w:t xml:space="preserve">ithin one year of establishing the mandate, the responsible governments would be required to develop an enforceable plan to house the vast majority of their homeless populations within an aggressive but reasonable period of time, based on the jurisdiction’s last Point-In-Time Count. </w:t>
      </w:r>
    </w:p>
    <w:p w14:paraId="2A95D11C" w14:textId="77777777" w:rsidR="00856E54" w:rsidRPr="002F1F94" w:rsidRDefault="00856E54" w:rsidP="00A84255">
      <w:pPr>
        <w:rPr>
          <w:rFonts w:ascii="Arial" w:eastAsia="Times New Roman" w:hAnsi="Arial" w:cs="Arial"/>
          <w:sz w:val="24"/>
          <w:szCs w:val="24"/>
        </w:rPr>
      </w:pPr>
    </w:p>
    <w:p w14:paraId="720BB8B9" w14:textId="6EB92F03" w:rsidR="00856E54" w:rsidRPr="002F1F94" w:rsidRDefault="00856E54" w:rsidP="00AA5588">
      <w:pPr>
        <w:ind w:left="-5"/>
        <w:rPr>
          <w:rFonts w:ascii="Arial" w:eastAsia="Times New Roman" w:hAnsi="Arial" w:cs="Arial"/>
          <w:sz w:val="24"/>
          <w:szCs w:val="24"/>
        </w:rPr>
      </w:pPr>
      <w:r w:rsidRPr="002F1F94">
        <w:rPr>
          <w:rFonts w:ascii="Arial" w:eastAsia="Times New Roman" w:hAnsi="Arial" w:cs="Arial"/>
          <w:sz w:val="24"/>
          <w:szCs w:val="24"/>
        </w:rPr>
        <w:t>To be clear</w:t>
      </w:r>
      <w:r w:rsidR="0087773A">
        <w:rPr>
          <w:rFonts w:ascii="Arial" w:eastAsia="Times New Roman" w:hAnsi="Arial" w:cs="Arial"/>
          <w:sz w:val="24"/>
          <w:szCs w:val="24"/>
        </w:rPr>
        <w:t>,</w:t>
      </w:r>
      <w:r w:rsidRPr="002F1F94">
        <w:rPr>
          <w:rFonts w:ascii="Arial" w:eastAsia="Times New Roman" w:hAnsi="Arial" w:cs="Arial"/>
          <w:sz w:val="24"/>
          <w:szCs w:val="24"/>
        </w:rPr>
        <w:t xml:space="preserve"> the obligation lies with government to strategize, plan, and implement. Homeless people will be the beneficiaries of that government action. </w:t>
      </w:r>
    </w:p>
    <w:p w14:paraId="46BA965B" w14:textId="77777777" w:rsidR="00A84255" w:rsidRPr="002F1F94" w:rsidRDefault="00A84255" w:rsidP="00A84255">
      <w:pPr>
        <w:rPr>
          <w:rFonts w:ascii="Arial" w:eastAsia="Times New Roman" w:hAnsi="Arial" w:cs="Arial"/>
          <w:sz w:val="24"/>
          <w:szCs w:val="24"/>
        </w:rPr>
      </w:pPr>
    </w:p>
    <w:p w14:paraId="7F26F25A" w14:textId="6981409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xml:space="preserve">These plans would include specific benchmarks and timelines </w:t>
      </w:r>
      <w:r w:rsidR="009B59AD">
        <w:rPr>
          <w:rFonts w:ascii="Arial" w:eastAsia="Times New Roman" w:hAnsi="Arial" w:cs="Arial"/>
          <w:sz w:val="24"/>
          <w:szCs w:val="24"/>
        </w:rPr>
        <w:t>that jurisdictions would have to meet for moving people into permanent housing through both services offered in interim interventions and creation of housing opportunities</w:t>
      </w:r>
      <w:r w:rsidRPr="002F1F94">
        <w:rPr>
          <w:rFonts w:ascii="Arial" w:eastAsia="Times New Roman" w:hAnsi="Arial" w:cs="Arial"/>
          <w:sz w:val="24"/>
          <w:szCs w:val="24"/>
        </w:rPr>
        <w:t>. One year after enactment, designated public officials as identified by the legislation would have the authority to file a public right of action requesting the Superior Court in any non-compliant jurisdiction to either appropriate existing resources, consolidate resources with neighboring jurisdictions, override any siting restrictions, and/or effectuate any actions that w</w:t>
      </w:r>
      <w:r w:rsidR="0087773A">
        <w:rPr>
          <w:rFonts w:ascii="Arial" w:eastAsia="Times New Roman" w:hAnsi="Arial" w:cs="Arial"/>
          <w:sz w:val="24"/>
          <w:szCs w:val="24"/>
        </w:rPr>
        <w:t xml:space="preserve">ould </w:t>
      </w:r>
      <w:r w:rsidRPr="002F1F94">
        <w:rPr>
          <w:rFonts w:ascii="Arial" w:eastAsia="Times New Roman" w:hAnsi="Arial" w:cs="Arial"/>
          <w:sz w:val="24"/>
          <w:szCs w:val="24"/>
        </w:rPr>
        <w:t xml:space="preserve"> move the jurisdiction toward compliance. Any appeals would be heard by higher courts on an expedited basis.</w:t>
      </w:r>
    </w:p>
    <w:p w14:paraId="142C69F9" w14:textId="77777777" w:rsidR="00A84255" w:rsidRPr="002F1F94" w:rsidRDefault="00A84255" w:rsidP="00A84255">
      <w:pPr>
        <w:rPr>
          <w:rFonts w:ascii="Arial" w:eastAsia="Times New Roman" w:hAnsi="Arial" w:cs="Arial"/>
          <w:sz w:val="24"/>
          <w:szCs w:val="24"/>
        </w:rPr>
      </w:pPr>
    </w:p>
    <w:p w14:paraId="06EA31EE" w14:textId="429A8899"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While more state resources will undoubtedly be required, the state must first assess the existing funding available for homelessness, housing, mental health and substance abuse treatment, and the extent to which these resources could be r</w:t>
      </w:r>
      <w:r w:rsidR="00C86F7B" w:rsidRPr="002F1F94">
        <w:rPr>
          <w:rFonts w:ascii="Arial" w:eastAsia="Times New Roman" w:hAnsi="Arial" w:cs="Arial"/>
          <w:sz w:val="24"/>
          <w:szCs w:val="24"/>
        </w:rPr>
        <w:t>e</w:t>
      </w:r>
      <w:r w:rsidRPr="002F1F94">
        <w:rPr>
          <w:rFonts w:ascii="Arial" w:eastAsia="Times New Roman" w:hAnsi="Arial" w:cs="Arial"/>
          <w:sz w:val="24"/>
          <w:szCs w:val="24"/>
        </w:rPr>
        <w:t>prioritized to end street homelessness. The Governor and Legislature, with the guidance of this task force</w:t>
      </w:r>
      <w:r w:rsidR="00106F75">
        <w:rPr>
          <w:rFonts w:ascii="Arial" w:eastAsia="Times New Roman" w:hAnsi="Arial" w:cs="Arial"/>
          <w:sz w:val="24"/>
          <w:szCs w:val="24"/>
        </w:rPr>
        <w:t>,</w:t>
      </w:r>
      <w:r w:rsidRPr="002F1F94">
        <w:rPr>
          <w:rFonts w:ascii="Arial" w:eastAsia="Times New Roman" w:hAnsi="Arial" w:cs="Arial"/>
          <w:sz w:val="24"/>
          <w:szCs w:val="24"/>
        </w:rPr>
        <w:t xml:space="preserve"> should spend the first months of 2020 developing a better integration of existing and additional funding sources to meet this mandate.</w:t>
      </w:r>
      <w:r w:rsidR="00A0585B" w:rsidRPr="002F1F94">
        <w:rPr>
          <w:rFonts w:ascii="Arial" w:eastAsia="Times New Roman" w:hAnsi="Arial" w:cs="Arial"/>
          <w:sz w:val="24"/>
          <w:szCs w:val="24"/>
        </w:rPr>
        <w:t xml:space="preserve"> </w:t>
      </w:r>
      <w:r w:rsidRPr="002F1F94">
        <w:rPr>
          <w:rFonts w:ascii="Arial" w:eastAsia="Times New Roman" w:hAnsi="Arial" w:cs="Arial"/>
          <w:sz w:val="24"/>
          <w:szCs w:val="24"/>
        </w:rPr>
        <w:t xml:space="preserve">The </w:t>
      </w:r>
      <w:r w:rsidR="00106F75">
        <w:rPr>
          <w:rFonts w:ascii="Arial" w:eastAsia="Times New Roman" w:hAnsi="Arial" w:cs="Arial"/>
          <w:sz w:val="24"/>
          <w:szCs w:val="24"/>
        </w:rPr>
        <w:t>s</w:t>
      </w:r>
      <w:r w:rsidRPr="002F1F94">
        <w:rPr>
          <w:rFonts w:ascii="Arial" w:eastAsia="Times New Roman" w:hAnsi="Arial" w:cs="Arial"/>
          <w:sz w:val="24"/>
          <w:szCs w:val="24"/>
        </w:rPr>
        <w:t xml:space="preserve">tate </w:t>
      </w:r>
      <w:r w:rsidR="006F5125">
        <w:rPr>
          <w:rFonts w:ascii="Arial" w:eastAsia="Times New Roman" w:hAnsi="Arial" w:cs="Arial"/>
          <w:sz w:val="24"/>
          <w:szCs w:val="24"/>
        </w:rPr>
        <w:t>should reserve the right</w:t>
      </w:r>
      <w:r w:rsidR="00093B8C">
        <w:rPr>
          <w:rFonts w:ascii="Arial" w:eastAsia="Times New Roman" w:hAnsi="Arial" w:cs="Arial"/>
          <w:sz w:val="24"/>
          <w:szCs w:val="24"/>
        </w:rPr>
        <w:t>, and enforce through the courts, the right to require</w:t>
      </w:r>
      <w:r w:rsidRPr="002F1F94">
        <w:rPr>
          <w:rFonts w:ascii="Arial" w:eastAsia="Times New Roman" w:hAnsi="Arial" w:cs="Arial"/>
          <w:sz w:val="24"/>
          <w:szCs w:val="24"/>
        </w:rPr>
        <w:t xml:space="preserve"> remedial reprioritization of existing resources by cities, counties and the state to ensure a commitment to the mandate.</w:t>
      </w:r>
    </w:p>
    <w:p w14:paraId="317B27D9" w14:textId="5CB4731E" w:rsidR="001D2AB9" w:rsidRPr="002F1F94" w:rsidRDefault="001D2AB9" w:rsidP="00A84255">
      <w:pPr>
        <w:rPr>
          <w:rFonts w:ascii="Arial" w:eastAsia="Times New Roman" w:hAnsi="Arial" w:cs="Arial"/>
          <w:sz w:val="24"/>
          <w:szCs w:val="24"/>
        </w:rPr>
      </w:pPr>
    </w:p>
    <w:p w14:paraId="53C21FD5" w14:textId="3FE1B951" w:rsidR="001D2AB9" w:rsidRPr="00071D1C" w:rsidRDefault="001D2AB9" w:rsidP="001D2AB9">
      <w:pPr>
        <w:rPr>
          <w:rFonts w:ascii="Arial" w:eastAsia="Arial Unicode MS" w:hAnsi="Arial" w:cs="Arial Unicode MS"/>
          <w:color w:val="000000"/>
          <w:sz w:val="24"/>
          <w:szCs w:val="24"/>
          <w:u w:color="000000"/>
          <w:bdr w:val="nil"/>
          <w14:textOutline w14:w="0" w14:cap="flat" w14:cmpd="sng" w14:algn="ctr">
            <w14:noFill/>
            <w14:prstDash w14:val="solid"/>
            <w14:bevel/>
          </w14:textOutline>
        </w:rPr>
      </w:pPr>
      <w:bookmarkStart w:id="1" w:name="_Hlk29032036"/>
      <w:r w:rsidRPr="00A87ADE">
        <w:rPr>
          <w:rFonts w:ascii="Arial" w:eastAsia="Arial Unicode MS" w:hAnsi="Arial" w:cs="Arial Unicode MS"/>
          <w:color w:val="000000"/>
          <w:sz w:val="24"/>
          <w:szCs w:val="24"/>
          <w:u w:color="000000"/>
          <w:bdr w:val="nil"/>
          <w14:textOutline w14:w="0" w14:cap="flat" w14:cmpd="sng" w14:algn="ctr">
            <w14:noFill/>
            <w14:prstDash w14:val="solid"/>
            <w14:bevel/>
          </w14:textOutline>
        </w:rPr>
        <w:t>In order to expand access to mental health and substance</w:t>
      </w:r>
      <w:r w:rsidR="00106F75">
        <w:rPr>
          <w:rFonts w:ascii="Arial" w:eastAsia="Arial Unicode MS" w:hAnsi="Arial" w:cs="Arial Unicode MS"/>
          <w:color w:val="000000"/>
          <w:sz w:val="24"/>
          <w:szCs w:val="24"/>
          <w:u w:color="000000"/>
          <w:bdr w:val="nil"/>
          <w14:textOutline w14:w="0" w14:cap="flat" w14:cmpd="sng" w14:algn="ctr">
            <w14:noFill/>
            <w14:prstDash w14:val="solid"/>
            <w14:bevel/>
          </w14:textOutline>
        </w:rPr>
        <w:t xml:space="preserve"> abuse</w:t>
      </w:r>
      <w:r w:rsidRPr="00A87ADE">
        <w:rPr>
          <w:rFonts w:ascii="Arial" w:eastAsia="Arial Unicode MS" w:hAnsi="Arial" w:cs="Arial Unicode MS"/>
          <w:color w:val="000000"/>
          <w:sz w:val="24"/>
          <w:szCs w:val="24"/>
          <w:u w:color="000000"/>
          <w:bdr w:val="nil"/>
          <w14:textOutline w14:w="0" w14:cap="flat" w14:cmpd="sng" w14:algn="ctr">
            <w14:noFill/>
            <w14:prstDash w14:val="solid"/>
            <w14:bevel/>
          </w14:textOutline>
        </w:rPr>
        <w:t xml:space="preserve"> treatment for individuals experiencing homelessness, the state should work in tandem with counties to ensure that existing funding, funding proposed in the Governor’s budget, and proposed Medi-Cal reforms align with the state’s goals to improve access to treatment for the estimated 25% of homeless individuals living with a serious mental illness or substance use disorder while at the same time not reducing the levels of funding directed at core prevention and Medi-Cal behavioral health services. </w:t>
      </w:r>
      <w:r w:rsidRPr="00071D1C">
        <w:rPr>
          <w:rFonts w:ascii="Arial" w:eastAsia="Arial Unicode MS" w:hAnsi="Arial" w:cs="Arial Unicode MS"/>
          <w:color w:val="000000"/>
          <w:sz w:val="24"/>
          <w:szCs w:val="24"/>
          <w:u w:color="000000"/>
          <w:bdr w:val="nil"/>
          <w14:textOutline w14:w="0" w14:cap="flat" w14:cmpd="sng" w14:algn="ctr">
            <w14:noFill/>
            <w14:prstDash w14:val="solid"/>
            <w14:bevel/>
          </w14:textOutline>
        </w:rPr>
        <w:t xml:space="preserve"> </w:t>
      </w:r>
    </w:p>
    <w:bookmarkEnd w:id="1"/>
    <w:p w14:paraId="4977DA85" w14:textId="1606E9AD" w:rsidR="00A0585B" w:rsidRPr="002F1F94" w:rsidRDefault="00A0585B" w:rsidP="00A84255">
      <w:pPr>
        <w:rPr>
          <w:rFonts w:ascii="Arial" w:eastAsia="Times New Roman" w:hAnsi="Arial" w:cs="Arial"/>
          <w:sz w:val="24"/>
          <w:szCs w:val="24"/>
        </w:rPr>
      </w:pPr>
    </w:p>
    <w:p w14:paraId="31CFFB3D" w14:textId="518F2D2B" w:rsidR="0056617B" w:rsidRDefault="00A84255" w:rsidP="00B45A73">
      <w:pPr>
        <w:rPr>
          <w:rFonts w:ascii="Arial" w:eastAsia="Times New Roman" w:hAnsi="Arial" w:cs="Arial"/>
          <w:sz w:val="24"/>
          <w:szCs w:val="24"/>
        </w:rPr>
      </w:pPr>
      <w:r w:rsidRPr="002F1F94">
        <w:rPr>
          <w:rFonts w:ascii="Arial" w:eastAsia="Times New Roman" w:hAnsi="Arial" w:cs="Arial"/>
          <w:sz w:val="24"/>
          <w:szCs w:val="24"/>
        </w:rPr>
        <w:t>There is still much work to be done</w:t>
      </w:r>
      <w:r w:rsidR="008E4474" w:rsidRPr="008E4474">
        <w:t xml:space="preserve"> </w:t>
      </w:r>
      <w:r w:rsidR="008E4474" w:rsidRPr="008E4474">
        <w:rPr>
          <w:rFonts w:ascii="Arial" w:eastAsia="Times New Roman" w:hAnsi="Arial" w:cs="Arial"/>
          <w:sz w:val="24"/>
          <w:szCs w:val="24"/>
        </w:rPr>
        <w:t>to negotiate the parameters of an enforceable obligation, shared by the state and local governments</w:t>
      </w:r>
      <w:r w:rsidRPr="002F1F94">
        <w:rPr>
          <w:rFonts w:ascii="Arial" w:eastAsia="Times New Roman" w:hAnsi="Arial" w:cs="Arial"/>
          <w:sz w:val="24"/>
          <w:szCs w:val="24"/>
        </w:rPr>
        <w:t>, including identifying the responsibilities of the respective stakeholders and timelines for action</w:t>
      </w:r>
      <w:r w:rsidR="001176AF" w:rsidRPr="001176AF">
        <w:rPr>
          <w:rFonts w:ascii="Arial" w:eastAsia="Times New Roman" w:hAnsi="Arial" w:cs="Arial"/>
          <w:sz w:val="24"/>
          <w:szCs w:val="24"/>
        </w:rPr>
        <w:t xml:space="preserve">, </w:t>
      </w:r>
      <w:r w:rsidR="001176AF">
        <w:rPr>
          <w:rFonts w:ascii="Arial" w:eastAsia="Times New Roman" w:hAnsi="Arial" w:cs="Arial"/>
          <w:sz w:val="24"/>
          <w:szCs w:val="24"/>
        </w:rPr>
        <w:t>i</w:t>
      </w:r>
      <w:r w:rsidR="001176AF" w:rsidRPr="001176AF">
        <w:rPr>
          <w:rFonts w:ascii="Arial" w:eastAsia="Times New Roman" w:hAnsi="Arial" w:cs="Arial"/>
          <w:sz w:val="24"/>
          <w:szCs w:val="24"/>
        </w:rPr>
        <w:t>n addition to how the obligation</w:t>
      </w:r>
      <w:r w:rsidR="00D66EB5">
        <w:rPr>
          <w:rFonts w:ascii="Arial" w:eastAsia="Times New Roman" w:hAnsi="Arial" w:cs="Arial"/>
          <w:sz w:val="24"/>
          <w:szCs w:val="24"/>
        </w:rPr>
        <w:t xml:space="preserve"> would be enforced</w:t>
      </w:r>
      <w:r w:rsidRPr="002F1F94">
        <w:rPr>
          <w:rFonts w:ascii="Arial" w:eastAsia="Times New Roman" w:hAnsi="Arial" w:cs="Arial"/>
          <w:sz w:val="24"/>
          <w:szCs w:val="24"/>
        </w:rPr>
        <w:t>. The task force proposes to work with you</w:t>
      </w:r>
      <w:r w:rsidR="00AA5588" w:rsidRPr="002F1F94">
        <w:rPr>
          <w:rFonts w:ascii="Arial" w:eastAsia="Times New Roman" w:hAnsi="Arial" w:cs="Arial"/>
          <w:sz w:val="24"/>
          <w:szCs w:val="24"/>
        </w:rPr>
        <w:t>,</w:t>
      </w:r>
      <w:r w:rsidRPr="002F1F94">
        <w:rPr>
          <w:rFonts w:ascii="Arial" w:eastAsia="Times New Roman" w:hAnsi="Arial" w:cs="Arial"/>
          <w:sz w:val="24"/>
          <w:szCs w:val="24"/>
        </w:rPr>
        <w:t xml:space="preserve"> </w:t>
      </w:r>
      <w:r w:rsidR="00AA5588" w:rsidRPr="002F1F94">
        <w:rPr>
          <w:rFonts w:ascii="Arial" w:eastAsia="Times New Roman" w:hAnsi="Arial" w:cs="Arial"/>
          <w:sz w:val="24"/>
          <w:szCs w:val="24"/>
        </w:rPr>
        <w:t>the</w:t>
      </w:r>
      <w:r w:rsidRPr="002F1F94">
        <w:rPr>
          <w:rFonts w:ascii="Arial" w:eastAsia="Times New Roman" w:hAnsi="Arial" w:cs="Arial"/>
          <w:sz w:val="24"/>
          <w:szCs w:val="24"/>
        </w:rPr>
        <w:t xml:space="preserve"> Legislature </w:t>
      </w:r>
      <w:r w:rsidR="00AA5588" w:rsidRPr="002F1F94">
        <w:rPr>
          <w:rFonts w:ascii="Arial" w:eastAsia="Times New Roman" w:hAnsi="Arial" w:cs="Arial"/>
          <w:sz w:val="24"/>
          <w:szCs w:val="24"/>
        </w:rPr>
        <w:t>and relevant stakeholders over the next months to design t</w:t>
      </w:r>
      <w:r w:rsidRPr="002F1F94">
        <w:rPr>
          <w:rFonts w:ascii="Arial" w:eastAsia="Times New Roman" w:hAnsi="Arial" w:cs="Arial"/>
          <w:sz w:val="24"/>
          <w:szCs w:val="24"/>
        </w:rPr>
        <w:t>he specific elements of the</w:t>
      </w:r>
      <w:r w:rsidR="00275DF7">
        <w:rPr>
          <w:rFonts w:ascii="Arial" w:eastAsia="Times New Roman" w:hAnsi="Arial" w:cs="Arial"/>
          <w:sz w:val="24"/>
          <w:szCs w:val="24"/>
        </w:rPr>
        <w:t xml:space="preserve"> legally</w:t>
      </w:r>
      <w:r w:rsidRPr="002F1F94">
        <w:rPr>
          <w:rFonts w:ascii="Arial" w:eastAsia="Times New Roman" w:hAnsi="Arial" w:cs="Arial"/>
          <w:sz w:val="24"/>
          <w:szCs w:val="24"/>
        </w:rPr>
        <w:t xml:space="preserve"> enforceable</w:t>
      </w:r>
      <w:r w:rsidR="00275DF7">
        <w:rPr>
          <w:rFonts w:ascii="Arial" w:eastAsia="Times New Roman" w:hAnsi="Arial" w:cs="Arial"/>
          <w:sz w:val="24"/>
          <w:szCs w:val="24"/>
        </w:rPr>
        <w:t>, results-based</w:t>
      </w:r>
      <w:r w:rsidRPr="002F1F94">
        <w:rPr>
          <w:rFonts w:ascii="Arial" w:eastAsia="Times New Roman" w:hAnsi="Arial" w:cs="Arial"/>
          <w:sz w:val="24"/>
          <w:szCs w:val="24"/>
        </w:rPr>
        <w:t xml:space="preserve"> </w:t>
      </w:r>
      <w:r w:rsidR="00AA5588" w:rsidRPr="002F1F94">
        <w:rPr>
          <w:rFonts w:ascii="Arial" w:eastAsia="Times New Roman" w:hAnsi="Arial" w:cs="Arial"/>
          <w:sz w:val="24"/>
          <w:szCs w:val="24"/>
        </w:rPr>
        <w:t xml:space="preserve">accountability </w:t>
      </w:r>
      <w:r w:rsidRPr="002F1F94">
        <w:rPr>
          <w:rFonts w:ascii="Arial" w:eastAsia="Times New Roman" w:hAnsi="Arial" w:cs="Arial"/>
          <w:sz w:val="24"/>
          <w:szCs w:val="24"/>
        </w:rPr>
        <w:t>mandate. </w:t>
      </w:r>
      <w:r w:rsidR="00A429B2">
        <w:rPr>
          <w:rFonts w:ascii="Arial" w:eastAsia="Times New Roman" w:hAnsi="Arial" w:cs="Arial"/>
          <w:sz w:val="24"/>
          <w:szCs w:val="24"/>
        </w:rPr>
        <w:t xml:space="preserve"> </w:t>
      </w:r>
    </w:p>
    <w:p w14:paraId="1AB89C4B" w14:textId="77777777" w:rsidR="00B45A73" w:rsidRDefault="00B45A73" w:rsidP="00B45A73">
      <w:pPr>
        <w:rPr>
          <w:rFonts w:ascii="Arial" w:eastAsia="Times New Roman" w:hAnsi="Arial" w:cs="Arial"/>
          <w:sz w:val="24"/>
          <w:szCs w:val="24"/>
        </w:rPr>
      </w:pPr>
    </w:p>
    <w:p w14:paraId="37509814" w14:textId="47EC339B" w:rsidR="00B45A73" w:rsidRDefault="00B45A73" w:rsidP="00B45A73">
      <w:pPr>
        <w:rPr>
          <w:rFonts w:ascii="Arial" w:eastAsia="Times New Roman" w:hAnsi="Arial" w:cs="Arial"/>
          <w:sz w:val="24"/>
          <w:szCs w:val="24"/>
        </w:rPr>
      </w:pPr>
      <w:r>
        <w:rPr>
          <w:rFonts w:ascii="Arial" w:eastAsia="Times New Roman" w:hAnsi="Arial" w:cs="Arial"/>
          <w:sz w:val="24"/>
          <w:szCs w:val="24"/>
        </w:rPr>
        <w:t xml:space="preserve">The elected leaders of the task force commit to working with the Administration to establish as many local enforceable mandate pilots </w:t>
      </w:r>
      <w:r w:rsidR="002079B5">
        <w:rPr>
          <w:rFonts w:ascii="Arial" w:eastAsia="Times New Roman" w:hAnsi="Arial" w:cs="Arial"/>
          <w:sz w:val="24"/>
          <w:szCs w:val="24"/>
        </w:rPr>
        <w:t>in their own jurisdictions</w:t>
      </w:r>
      <w:r w:rsidR="002B307C">
        <w:rPr>
          <w:rFonts w:ascii="Arial" w:eastAsia="Times New Roman" w:hAnsi="Arial" w:cs="Arial"/>
          <w:sz w:val="24"/>
          <w:szCs w:val="24"/>
        </w:rPr>
        <w:t xml:space="preserve"> as possible</w:t>
      </w:r>
      <w:r w:rsidR="002079B5">
        <w:rPr>
          <w:rFonts w:ascii="Arial" w:eastAsia="Times New Roman" w:hAnsi="Arial" w:cs="Arial"/>
          <w:sz w:val="24"/>
          <w:szCs w:val="24"/>
        </w:rPr>
        <w:t xml:space="preserve"> </w:t>
      </w:r>
      <w:r>
        <w:rPr>
          <w:rFonts w:ascii="Arial" w:eastAsia="Times New Roman" w:hAnsi="Arial" w:cs="Arial"/>
          <w:sz w:val="24"/>
          <w:szCs w:val="24"/>
        </w:rPr>
        <w:t>prior</w:t>
      </w:r>
      <w:r w:rsidR="002B307C">
        <w:rPr>
          <w:rFonts w:ascii="Arial" w:eastAsia="Times New Roman" w:hAnsi="Arial" w:cs="Arial"/>
          <w:sz w:val="24"/>
          <w:szCs w:val="24"/>
        </w:rPr>
        <w:t xml:space="preserve"> </w:t>
      </w:r>
      <w:r>
        <w:rPr>
          <w:rFonts w:ascii="Arial" w:eastAsia="Times New Roman" w:hAnsi="Arial" w:cs="Arial"/>
          <w:sz w:val="24"/>
          <w:szCs w:val="24"/>
        </w:rPr>
        <w:t xml:space="preserve">to the eventual constitutional amendment taking effect. </w:t>
      </w:r>
    </w:p>
    <w:p w14:paraId="00EC9ABB" w14:textId="77777777" w:rsidR="00A429B2" w:rsidRPr="002F1F94" w:rsidRDefault="00A429B2" w:rsidP="00A84255">
      <w:pPr>
        <w:rPr>
          <w:rFonts w:ascii="Arial" w:eastAsia="Times New Roman" w:hAnsi="Arial" w:cs="Arial"/>
          <w:sz w:val="24"/>
          <w:szCs w:val="24"/>
        </w:rPr>
      </w:pPr>
    </w:p>
    <w:p w14:paraId="14BCD71A" w14:textId="4C4886A7" w:rsidR="00A84255" w:rsidRPr="002F1F94" w:rsidRDefault="00A84255" w:rsidP="00A84255">
      <w:pPr>
        <w:rPr>
          <w:rFonts w:ascii="Arial" w:eastAsia="Times New Roman" w:hAnsi="Arial" w:cs="Arial"/>
          <w:sz w:val="24"/>
          <w:szCs w:val="24"/>
        </w:rPr>
      </w:pPr>
      <w:r w:rsidRPr="002F1F94">
        <w:rPr>
          <w:rFonts w:ascii="Arial" w:eastAsia="Times New Roman" w:hAnsi="Arial" w:cs="Arial"/>
          <w:b/>
          <w:bCs/>
          <w:sz w:val="24"/>
          <w:szCs w:val="24"/>
        </w:rPr>
        <w:t>Create a Single Point of Authority for Homelessness in State Government</w:t>
      </w:r>
    </w:p>
    <w:p w14:paraId="2B94BB0A"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03D84A20" w14:textId="5B3F5EFE"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Since homelessness crosses multiple state agencies and jurisdictions, we strongly recommend a single high</w:t>
      </w:r>
      <w:r w:rsidR="00140066">
        <w:rPr>
          <w:rFonts w:ascii="Arial" w:eastAsia="Times New Roman" w:hAnsi="Arial" w:cs="Arial"/>
          <w:sz w:val="24"/>
          <w:szCs w:val="24"/>
        </w:rPr>
        <w:t>-</w:t>
      </w:r>
      <w:r w:rsidRPr="002F1F94">
        <w:rPr>
          <w:rFonts w:ascii="Arial" w:eastAsia="Times New Roman" w:hAnsi="Arial" w:cs="Arial"/>
          <w:sz w:val="24"/>
          <w:szCs w:val="24"/>
        </w:rPr>
        <w:t>level official and team be established to coordinate housing, health and human services and other state responsibilities relating to homelessness. Th</w:t>
      </w:r>
      <w:r w:rsidR="00140066">
        <w:rPr>
          <w:rFonts w:ascii="Arial" w:eastAsia="Times New Roman" w:hAnsi="Arial" w:cs="Arial"/>
          <w:sz w:val="24"/>
          <w:szCs w:val="24"/>
        </w:rPr>
        <w:t xml:space="preserve">is person </w:t>
      </w:r>
      <w:r w:rsidRPr="002F1F94">
        <w:rPr>
          <w:rFonts w:ascii="Arial" w:eastAsia="Times New Roman" w:hAnsi="Arial" w:cs="Arial"/>
          <w:sz w:val="24"/>
          <w:szCs w:val="24"/>
        </w:rPr>
        <w:t>should report directly to the Governor, have authority over other departments and agencies, oversee the Homeless Coordinating and Financing Council, and run a funders collaborative that would coordinate and standardize state funding toward evidence-based housing and services interventions as well as attract philanthropic investment.</w:t>
      </w:r>
    </w:p>
    <w:p w14:paraId="1BA058C9" w14:textId="77777777"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p>
    <w:p w14:paraId="124F126D" w14:textId="584FC222" w:rsidR="00A84255" w:rsidRPr="002F1F94" w:rsidRDefault="00A84255" w:rsidP="00A84255">
      <w:pPr>
        <w:rPr>
          <w:rFonts w:ascii="Arial" w:eastAsia="Times New Roman" w:hAnsi="Arial" w:cs="Arial"/>
          <w:sz w:val="24"/>
          <w:szCs w:val="24"/>
        </w:rPr>
      </w:pPr>
      <w:r w:rsidRPr="002F1F94">
        <w:rPr>
          <w:rFonts w:ascii="Arial" w:eastAsia="Times New Roman" w:hAnsi="Arial" w:cs="Arial"/>
          <w:sz w:val="24"/>
          <w:szCs w:val="24"/>
        </w:rPr>
        <w:t> </w:t>
      </w:r>
      <w:r w:rsidRPr="002F1F94">
        <w:rPr>
          <w:rFonts w:ascii="Arial" w:eastAsia="Times New Roman" w:hAnsi="Arial" w:cs="Arial"/>
          <w:b/>
          <w:bCs/>
          <w:sz w:val="24"/>
          <w:szCs w:val="24"/>
          <w:u w:val="single"/>
        </w:rPr>
        <w:t>Strategic Funding Investments</w:t>
      </w:r>
    </w:p>
    <w:p w14:paraId="61B95D65" w14:textId="77777777" w:rsidR="0038740A" w:rsidRPr="00BE7E04" w:rsidRDefault="0038740A" w:rsidP="00C86F7B">
      <w:pPr>
        <w:pStyle w:val="Body"/>
        <w:ind w:left="0" w:firstLine="0"/>
        <w:jc w:val="left"/>
      </w:pPr>
    </w:p>
    <w:p w14:paraId="75DD68B4" w14:textId="121EFCD0" w:rsidR="00C86F7B" w:rsidRPr="002F1F94" w:rsidRDefault="0038740A" w:rsidP="002F1F94">
      <w:r w:rsidRPr="002F1F94">
        <w:rPr>
          <w:rFonts w:ascii="Arial" w:eastAsia="Arial Unicode MS" w:hAnsi="Arial" w:cs="Arial Unicode MS"/>
          <w:color w:val="000000"/>
          <w:sz w:val="24"/>
          <w:szCs w:val="24"/>
          <w:u w:color="000000"/>
          <w:bdr w:val="nil"/>
          <w14:textOutline w14:w="0" w14:cap="flat" w14:cmpd="sng" w14:algn="ctr">
            <w14:noFill/>
            <w14:prstDash w14:val="solid"/>
            <w14:bevel/>
          </w14:textOutline>
        </w:rPr>
        <w:t>The</w:t>
      </w:r>
      <w:r w:rsidR="005A4467" w:rsidRPr="002F1F94">
        <w:rPr>
          <w:rFonts w:ascii="Arial" w:eastAsia="Arial Unicode MS" w:hAnsi="Arial" w:cs="Arial Unicode MS"/>
          <w:color w:val="000000"/>
          <w:sz w:val="24"/>
          <w:szCs w:val="24"/>
          <w:u w:color="000000"/>
          <w:bdr w:val="nil"/>
          <w14:textOutline w14:w="0" w14:cap="flat" w14:cmpd="sng" w14:algn="ctr">
            <w14:noFill/>
            <w14:prstDash w14:val="solid"/>
            <w14:bevel/>
          </w14:textOutline>
        </w:rPr>
        <w:t xml:space="preserve"> </w:t>
      </w:r>
      <w:r w:rsidR="00C86F7B" w:rsidRPr="002F1F94">
        <w:rPr>
          <w:rFonts w:ascii="Arial" w:eastAsia="Arial Unicode MS" w:hAnsi="Arial" w:cs="Arial Unicode MS"/>
          <w:color w:val="000000"/>
          <w:sz w:val="24"/>
          <w:szCs w:val="24"/>
          <w:u w:color="000000"/>
          <w:bdr w:val="nil"/>
          <w14:textOutline w14:w="0" w14:cap="flat" w14:cmpd="sng" w14:algn="ctr">
            <w14:noFill/>
            <w14:prstDash w14:val="solid"/>
            <w14:bevel/>
          </w14:textOutline>
        </w:rPr>
        <w:t>state also should consider several strategic investments to build on your previous accomplishments, as further described below.</w:t>
      </w:r>
      <w:r w:rsidR="00C86F7B" w:rsidRPr="002F1F94">
        <w:t xml:space="preserve">  </w:t>
      </w:r>
    </w:p>
    <w:p w14:paraId="0082B2DE" w14:textId="77777777" w:rsidR="00C86F7B" w:rsidRPr="002F1F94" w:rsidRDefault="00C86F7B" w:rsidP="00C86F7B">
      <w:pPr>
        <w:pStyle w:val="Body"/>
        <w:ind w:left="0" w:firstLine="0"/>
        <w:jc w:val="left"/>
        <w:rPr>
          <w:b/>
          <w:bCs/>
        </w:rPr>
      </w:pPr>
    </w:p>
    <w:p w14:paraId="31149277" w14:textId="77777777" w:rsidR="00C86F7B" w:rsidRPr="002F1F94" w:rsidRDefault="00C86F7B" w:rsidP="00C86F7B">
      <w:pPr>
        <w:pStyle w:val="Body"/>
        <w:ind w:left="0" w:firstLine="0"/>
        <w:jc w:val="left"/>
      </w:pPr>
      <w:r w:rsidRPr="002F1F94">
        <w:rPr>
          <w:b/>
          <w:bCs/>
        </w:rPr>
        <w:t xml:space="preserve">Use the Federal Waiver Process to Ensure Medi-Cal Invests in Solutions Through the CalAIM Process. </w:t>
      </w:r>
    </w:p>
    <w:p w14:paraId="7D43B253" w14:textId="77777777" w:rsidR="00C86F7B" w:rsidRPr="002F1F94" w:rsidRDefault="00C86F7B" w:rsidP="00C86F7B">
      <w:pPr>
        <w:pStyle w:val="Body"/>
        <w:spacing w:after="0" w:line="259" w:lineRule="auto"/>
        <w:ind w:left="0" w:firstLine="0"/>
        <w:jc w:val="left"/>
      </w:pPr>
      <w:r w:rsidRPr="002F1F94">
        <w:t xml:space="preserve"> </w:t>
      </w:r>
    </w:p>
    <w:p w14:paraId="291D105A" w14:textId="77777777" w:rsidR="00C86F7B" w:rsidRPr="002F1F94" w:rsidRDefault="00C86F7B" w:rsidP="00C86F7B">
      <w:pPr>
        <w:pStyle w:val="Body"/>
        <w:ind w:left="0" w:firstLine="0"/>
        <w:jc w:val="left"/>
      </w:pPr>
      <w:r w:rsidRPr="002F1F94">
        <w:t xml:space="preserve">If approved by the federal government, the CalAIM proposal could strengthen California’s response to homelessness. </w:t>
      </w:r>
    </w:p>
    <w:p w14:paraId="5B092808" w14:textId="77777777" w:rsidR="00C86F7B" w:rsidRPr="002F1F94" w:rsidRDefault="00C86F7B" w:rsidP="00C86F7B">
      <w:pPr>
        <w:pStyle w:val="Body"/>
        <w:spacing w:after="0" w:line="259" w:lineRule="auto"/>
        <w:ind w:left="0" w:firstLine="0"/>
        <w:jc w:val="left"/>
      </w:pPr>
      <w:r w:rsidRPr="002F1F94">
        <w:t xml:space="preserve"> </w:t>
      </w:r>
    </w:p>
    <w:p w14:paraId="0C99285D" w14:textId="4D520881" w:rsidR="005A4467" w:rsidRPr="00BE7E04" w:rsidRDefault="005A4467" w:rsidP="00C86F7B">
      <w:pPr>
        <w:pStyle w:val="Body"/>
        <w:numPr>
          <w:ilvl w:val="0"/>
          <w:numId w:val="2"/>
        </w:numPr>
        <w:jc w:val="left"/>
      </w:pPr>
      <w:r w:rsidRPr="00BE7E04">
        <w:t>Providing new opportunities to build upon the lessons learned under Whole Person Care pilots through new requested Medicaid funding for enhanced care management, and in lieu of services such as housing services and supports.</w:t>
      </w:r>
    </w:p>
    <w:p w14:paraId="5F1D2037" w14:textId="292C1236" w:rsidR="005A4467" w:rsidRPr="00BE7E04" w:rsidRDefault="005A4467" w:rsidP="00C86F7B">
      <w:pPr>
        <w:pStyle w:val="Body"/>
        <w:numPr>
          <w:ilvl w:val="0"/>
          <w:numId w:val="2"/>
        </w:numPr>
        <w:jc w:val="left"/>
      </w:pPr>
      <w:r w:rsidRPr="00BE7E04">
        <w:t xml:space="preserve">Preventing homelessness through investments in transitions </w:t>
      </w:r>
      <w:r w:rsidR="00540C92">
        <w:t xml:space="preserve">that </w:t>
      </w:r>
      <w:r w:rsidRPr="00BE7E04">
        <w:t>can cause vulnerable populations to fall into homelessness, e.g. transitions from jail, emergency departments, hospitals, and skilled nursing facilities.</w:t>
      </w:r>
    </w:p>
    <w:p w14:paraId="0C7DE492" w14:textId="70CFD963" w:rsidR="005A4467" w:rsidRPr="00BE7E04" w:rsidRDefault="005A4467" w:rsidP="00C86F7B">
      <w:pPr>
        <w:pStyle w:val="Body"/>
        <w:numPr>
          <w:ilvl w:val="0"/>
          <w:numId w:val="2"/>
        </w:numPr>
        <w:jc w:val="left"/>
      </w:pPr>
      <w:r w:rsidRPr="00BE7E04">
        <w:t xml:space="preserve">Resourcing navigation funding and supports for individuals who require Board and Care levels of care. </w:t>
      </w:r>
    </w:p>
    <w:p w14:paraId="70D39E5A" w14:textId="1303E171" w:rsidR="005A4467" w:rsidRPr="00BE7E04" w:rsidRDefault="005A4467" w:rsidP="00C86F7B">
      <w:pPr>
        <w:pStyle w:val="Body"/>
        <w:numPr>
          <w:ilvl w:val="0"/>
          <w:numId w:val="2"/>
        </w:numPr>
        <w:jc w:val="left"/>
      </w:pPr>
      <w:r w:rsidRPr="00BE7E04">
        <w:t xml:space="preserve">Revising medical necessity criteria to allow for individuals to seek specialty mental health substance use disorder treatment services prior to diagnosis. </w:t>
      </w:r>
    </w:p>
    <w:p w14:paraId="7ADB8FE2" w14:textId="77777777" w:rsidR="005A4467" w:rsidRPr="00BE7E04" w:rsidRDefault="005A4467" w:rsidP="00C903CE">
      <w:pPr>
        <w:pStyle w:val="Body"/>
        <w:numPr>
          <w:ilvl w:val="0"/>
          <w:numId w:val="2"/>
        </w:numPr>
        <w:jc w:val="left"/>
      </w:pPr>
      <w:r w:rsidRPr="00BE7E04">
        <w:t>The administrative and financial integration of mental health and substance use disorder services.</w:t>
      </w:r>
    </w:p>
    <w:p w14:paraId="774E1851" w14:textId="53509D19" w:rsidR="005A4467" w:rsidRPr="002F1F94" w:rsidRDefault="005A4467" w:rsidP="005A4467">
      <w:pPr>
        <w:pStyle w:val="Body"/>
        <w:numPr>
          <w:ilvl w:val="0"/>
          <w:numId w:val="2"/>
        </w:numPr>
        <w:jc w:val="left"/>
      </w:pPr>
      <w:r w:rsidRPr="002F1F94">
        <w:t xml:space="preserve">The proposal should create a new benefit that would fund housing-based services, such as housing navigation, tenancy transition and sustaining services </w:t>
      </w:r>
    </w:p>
    <w:p w14:paraId="7F3C77F6" w14:textId="77777777" w:rsidR="00C86F7B" w:rsidRPr="002F1F94" w:rsidRDefault="00C86F7B" w:rsidP="00C86F7B">
      <w:pPr>
        <w:pStyle w:val="Body"/>
        <w:ind w:left="0" w:firstLine="0"/>
        <w:jc w:val="left"/>
        <w:rPr>
          <w:rFonts w:cs="Arial"/>
          <w:b/>
          <w:bCs/>
          <w:color w:val="auto"/>
        </w:rPr>
      </w:pPr>
    </w:p>
    <w:p w14:paraId="4DBE2017" w14:textId="77777777" w:rsidR="00F92359" w:rsidRPr="002F1F94" w:rsidRDefault="00F92359" w:rsidP="00F92359">
      <w:pPr>
        <w:ind w:left="-5"/>
        <w:rPr>
          <w:rFonts w:ascii="Arial" w:hAnsi="Arial" w:cs="Arial"/>
          <w:b/>
          <w:sz w:val="24"/>
          <w:szCs w:val="24"/>
        </w:rPr>
      </w:pPr>
      <w:bookmarkStart w:id="2" w:name="_Hlk29391813"/>
      <w:r w:rsidRPr="002F1F94">
        <w:rPr>
          <w:rFonts w:ascii="Arial" w:hAnsi="Arial" w:cs="Arial"/>
          <w:b/>
          <w:sz w:val="24"/>
          <w:szCs w:val="24"/>
        </w:rPr>
        <w:t xml:space="preserve">Encourage </w:t>
      </w:r>
      <w:r>
        <w:rPr>
          <w:rFonts w:ascii="Arial" w:hAnsi="Arial" w:cs="Arial"/>
          <w:b/>
          <w:sz w:val="24"/>
          <w:szCs w:val="24"/>
        </w:rPr>
        <w:t xml:space="preserve">Medi-Cal </w:t>
      </w:r>
      <w:r w:rsidRPr="002F1F94">
        <w:rPr>
          <w:rFonts w:ascii="Arial" w:hAnsi="Arial" w:cs="Arial"/>
          <w:b/>
          <w:sz w:val="24"/>
          <w:szCs w:val="24"/>
        </w:rPr>
        <w:t xml:space="preserve">Managed Care Providers to </w:t>
      </w:r>
      <w:r>
        <w:rPr>
          <w:rFonts w:ascii="Arial" w:hAnsi="Arial" w:cs="Arial"/>
          <w:b/>
          <w:sz w:val="24"/>
          <w:szCs w:val="24"/>
        </w:rPr>
        <w:t xml:space="preserve">Make Targeted Investments in </w:t>
      </w:r>
      <w:r w:rsidRPr="002F1F94">
        <w:rPr>
          <w:rFonts w:ascii="Arial" w:hAnsi="Arial" w:cs="Arial"/>
          <w:b/>
          <w:sz w:val="24"/>
          <w:szCs w:val="24"/>
        </w:rPr>
        <w:t xml:space="preserve">Homeless </w:t>
      </w:r>
      <w:r>
        <w:rPr>
          <w:rFonts w:ascii="Arial" w:hAnsi="Arial" w:cs="Arial"/>
          <w:b/>
          <w:sz w:val="24"/>
          <w:szCs w:val="24"/>
        </w:rPr>
        <w:t>Beneficiaries</w:t>
      </w:r>
      <w:r w:rsidRPr="002F1F94">
        <w:rPr>
          <w:rFonts w:ascii="Arial" w:hAnsi="Arial" w:cs="Arial"/>
          <w:b/>
          <w:sz w:val="24"/>
          <w:szCs w:val="24"/>
        </w:rPr>
        <w:t>.</w:t>
      </w:r>
    </w:p>
    <w:p w14:paraId="11E1EA53" w14:textId="77777777" w:rsidR="00F92359" w:rsidRPr="002F1F94" w:rsidRDefault="00F92359" w:rsidP="00F92359">
      <w:pPr>
        <w:ind w:left="-5"/>
        <w:rPr>
          <w:rFonts w:ascii="Arial" w:hAnsi="Arial" w:cs="Arial"/>
          <w:b/>
          <w:sz w:val="24"/>
          <w:szCs w:val="24"/>
        </w:rPr>
      </w:pPr>
    </w:p>
    <w:p w14:paraId="22E72F12" w14:textId="77777777" w:rsidR="00F92359" w:rsidRPr="002F1F94" w:rsidRDefault="00F92359" w:rsidP="00F92359">
      <w:pPr>
        <w:pStyle w:val="Body"/>
        <w:numPr>
          <w:ilvl w:val="0"/>
          <w:numId w:val="2"/>
        </w:numPr>
        <w:jc w:val="left"/>
        <w:rPr>
          <w:rFonts w:cs="Arial"/>
          <w:b/>
          <w:color w:val="auto"/>
        </w:rPr>
      </w:pPr>
      <w:r>
        <w:t xml:space="preserve">Given the size of Medi-Cal Managed Care Plan reserves, engage health plans in developing an initiative to invest more in targeting homeless beneficiary populations, both within Medi-Cal Healthy California for All’s proposals, and beyond. </w:t>
      </w:r>
    </w:p>
    <w:p w14:paraId="1A0592DE" w14:textId="77777777" w:rsidR="00F92359" w:rsidRPr="002F1F94" w:rsidRDefault="00F92359" w:rsidP="00F92359">
      <w:pPr>
        <w:pStyle w:val="Body"/>
        <w:numPr>
          <w:ilvl w:val="0"/>
          <w:numId w:val="2"/>
        </w:numPr>
        <w:jc w:val="left"/>
        <w:rPr>
          <w:bCs/>
          <w:color w:val="auto"/>
        </w:rPr>
      </w:pPr>
      <w:r w:rsidRPr="002F1F94">
        <w:t>These resources will support federal</w:t>
      </w:r>
      <w:r>
        <w:t xml:space="preserve">, </w:t>
      </w:r>
      <w:r w:rsidRPr="002F1F94">
        <w:t>state</w:t>
      </w:r>
      <w:r>
        <w:t>, and county</w:t>
      </w:r>
      <w:r w:rsidRPr="002F1F94">
        <w:t xml:space="preserve"> resources in moving people off the street and in the support of </w:t>
      </w:r>
      <w:r>
        <w:t>ensuring stable transitions to housing</w:t>
      </w:r>
      <w:r w:rsidRPr="002F1F94">
        <w:t xml:space="preserve">. </w:t>
      </w:r>
    </w:p>
    <w:bookmarkEnd w:id="2"/>
    <w:p w14:paraId="469F685A" w14:textId="77777777" w:rsidR="00856E54" w:rsidRPr="002F1F94" w:rsidRDefault="00856E54" w:rsidP="00881143">
      <w:pPr>
        <w:pStyle w:val="ListParagraph"/>
        <w:ind w:left="705" w:firstLine="0"/>
        <w:jc w:val="left"/>
        <w:rPr>
          <w:bCs/>
          <w:color w:val="auto"/>
          <w:szCs w:val="24"/>
        </w:rPr>
      </w:pPr>
    </w:p>
    <w:p w14:paraId="1A4CDE14" w14:textId="77777777" w:rsidR="00C86F7B" w:rsidRPr="002F1F94" w:rsidRDefault="00C86F7B" w:rsidP="00C86F7B">
      <w:pPr>
        <w:pStyle w:val="Body"/>
        <w:ind w:left="0" w:firstLine="0"/>
        <w:jc w:val="left"/>
        <w:rPr>
          <w:b/>
          <w:bCs/>
        </w:rPr>
      </w:pPr>
      <w:r w:rsidRPr="002F1F94">
        <w:rPr>
          <w:b/>
          <w:bCs/>
        </w:rPr>
        <w:t xml:space="preserve">Scale Up Funding through an Ongoing Annual Allocation for a State Pool of Flexible Housing Funds Which Would be Matched by Eligible Counties and Cities, in Partnership with the Private Sector and Philanthropy. </w:t>
      </w:r>
    </w:p>
    <w:p w14:paraId="11F0633C" w14:textId="77777777" w:rsidR="00C86F7B" w:rsidRPr="002F1F94" w:rsidRDefault="00C86F7B" w:rsidP="00C86F7B">
      <w:pPr>
        <w:pStyle w:val="Body"/>
        <w:ind w:left="0" w:firstLine="0"/>
        <w:jc w:val="left"/>
        <w:rPr>
          <w:b/>
          <w:bCs/>
        </w:rPr>
      </w:pPr>
    </w:p>
    <w:p w14:paraId="4E1BB097" w14:textId="77777777" w:rsidR="00C86F7B" w:rsidRPr="002F1F94" w:rsidRDefault="00C86F7B" w:rsidP="00C86F7B">
      <w:pPr>
        <w:pStyle w:val="Body"/>
      </w:pPr>
      <w:r w:rsidRPr="002F1F94">
        <w:t>The state should invest in flexible housing pools to scale up successes of local jurisdictions:</w:t>
      </w:r>
    </w:p>
    <w:p w14:paraId="175268C0" w14:textId="77777777" w:rsidR="00C86F7B" w:rsidRPr="002F1F94" w:rsidRDefault="00C86F7B" w:rsidP="00C86F7B">
      <w:pPr>
        <w:pStyle w:val="Body"/>
        <w:spacing w:after="0" w:line="259" w:lineRule="auto"/>
        <w:ind w:left="0" w:firstLine="0"/>
        <w:jc w:val="left"/>
      </w:pPr>
      <w:r w:rsidRPr="002F1F94">
        <w:rPr>
          <w:b/>
          <w:bCs/>
        </w:rPr>
        <w:t xml:space="preserve"> </w:t>
      </w:r>
    </w:p>
    <w:p w14:paraId="4F8943B3" w14:textId="57A93195" w:rsidR="00C86F7B" w:rsidRPr="002F1F94" w:rsidRDefault="00C86F7B" w:rsidP="00C86F7B">
      <w:pPr>
        <w:pStyle w:val="Body"/>
        <w:numPr>
          <w:ilvl w:val="0"/>
          <w:numId w:val="2"/>
        </w:numPr>
        <w:jc w:val="left"/>
      </w:pPr>
      <w:r w:rsidRPr="002F1F94">
        <w:t>Pooled Flexible Housing Funds, including</w:t>
      </w:r>
      <w:r w:rsidRPr="002F1F94">
        <w:rPr>
          <w:lang w:val="de-DE"/>
        </w:rPr>
        <w:t xml:space="preserve"> </w:t>
      </w:r>
      <w:r w:rsidR="002D5756">
        <w:rPr>
          <w:lang w:val="de-DE"/>
        </w:rPr>
        <w:t>r</w:t>
      </w:r>
      <w:r w:rsidRPr="002F1F94">
        <w:rPr>
          <w:lang w:val="de-DE"/>
        </w:rPr>
        <w:t xml:space="preserve">ent </w:t>
      </w:r>
      <w:r w:rsidR="002D5756">
        <w:rPr>
          <w:lang w:val="de-DE"/>
        </w:rPr>
        <w:t>s</w:t>
      </w:r>
      <w:r w:rsidRPr="002F1F94">
        <w:rPr>
          <w:lang w:val="de-DE"/>
        </w:rPr>
        <w:t>ubsidies</w:t>
      </w:r>
      <w:r w:rsidRPr="002F1F94">
        <w:t xml:space="preserve">, have been successfully piloted in Los Angeles County and are being piloted in a number of other counties. They are responsible for housing thousands of households with over 90% housing retention rates. </w:t>
      </w:r>
    </w:p>
    <w:p w14:paraId="5FF6FB79" w14:textId="77777777" w:rsidR="00C86F7B" w:rsidRPr="002F1F94" w:rsidRDefault="00C86F7B" w:rsidP="00C86F7B">
      <w:pPr>
        <w:pStyle w:val="Body"/>
        <w:numPr>
          <w:ilvl w:val="0"/>
          <w:numId w:val="2"/>
        </w:numPr>
        <w:jc w:val="left"/>
      </w:pPr>
      <w:r w:rsidRPr="002F1F94">
        <w:t>Flexible Housing Funds have also been unlocked under-utilized properties in the faith sector and private sector through rental assistance, and fund landlord incentives and flexible funding to rehabilitate property.</w:t>
      </w:r>
    </w:p>
    <w:p w14:paraId="211A3BCF" w14:textId="77777777" w:rsidR="00C86F7B" w:rsidRPr="002F1F94" w:rsidRDefault="00C86F7B" w:rsidP="00C86F7B">
      <w:pPr>
        <w:pStyle w:val="Body"/>
        <w:numPr>
          <w:ilvl w:val="0"/>
          <w:numId w:val="2"/>
        </w:numPr>
        <w:jc w:val="left"/>
      </w:pPr>
      <w:r w:rsidRPr="002F1F94">
        <w:t xml:space="preserve">Flexible Housing Pools further allow communities to “buy into” affordable housing projects to create more affordable and supportive housing opportunities. </w:t>
      </w:r>
    </w:p>
    <w:p w14:paraId="0675286E" w14:textId="77777777" w:rsidR="00C86F7B" w:rsidRPr="002F1F94" w:rsidRDefault="00C86F7B" w:rsidP="00C86F7B">
      <w:pPr>
        <w:pStyle w:val="Body"/>
        <w:numPr>
          <w:ilvl w:val="0"/>
          <w:numId w:val="2"/>
        </w:numPr>
        <w:jc w:val="left"/>
      </w:pPr>
      <w:r w:rsidRPr="002F1F94">
        <w:t xml:space="preserve">Flexible Housing Subsidies may also be used for shallow subsidies for General Relief participants, including participants who have applied for SSI. They allow local jurisdictions to rent units in affordable housing projects, and to stretch rapid rehousing resources further by avoiding a “cliff” of ending rent subsidies. In these ways, they create housing opportunities not currently in existence: affordable housing for people experiencing homelessness who do not need supportive housing. </w:t>
      </w:r>
    </w:p>
    <w:p w14:paraId="579CA83A" w14:textId="77777777" w:rsidR="00C86F7B" w:rsidRPr="002F1F94" w:rsidRDefault="00C86F7B" w:rsidP="00C86F7B">
      <w:pPr>
        <w:pStyle w:val="Body"/>
        <w:numPr>
          <w:ilvl w:val="0"/>
          <w:numId w:val="2"/>
        </w:numPr>
        <w:jc w:val="left"/>
      </w:pPr>
      <w:r w:rsidRPr="002F1F94">
        <w:t>Flexible Housing Funds, including one-time back payments of rent and utilities, have been used to prevent individuals and families from falling into homelessness.</w:t>
      </w:r>
    </w:p>
    <w:p w14:paraId="2FEE8F9D" w14:textId="77777777" w:rsidR="00C86F7B" w:rsidRPr="002F1F94" w:rsidRDefault="00C86F7B" w:rsidP="00C86F7B">
      <w:pPr>
        <w:pStyle w:val="Body"/>
        <w:numPr>
          <w:ilvl w:val="0"/>
          <w:numId w:val="2"/>
        </w:numPr>
        <w:jc w:val="left"/>
      </w:pPr>
      <w:r w:rsidRPr="002F1F94">
        <w:t xml:space="preserve">Finally, Flexible Housing Pools have standardized housing and services funding to focus on evidence-based interventions, while promoting private and philanthropic funding to seed innovations in getting people housed as quickly as possible. </w:t>
      </w:r>
    </w:p>
    <w:p w14:paraId="6E084C01" w14:textId="77777777" w:rsidR="00C86F7B" w:rsidRPr="002F1F94" w:rsidRDefault="00C86F7B" w:rsidP="00C86F7B">
      <w:pPr>
        <w:pStyle w:val="Body"/>
      </w:pPr>
    </w:p>
    <w:p w14:paraId="4F58B7A0" w14:textId="77777777" w:rsidR="00C86F7B" w:rsidRPr="002F1F94" w:rsidRDefault="00C86F7B" w:rsidP="00C86F7B">
      <w:pPr>
        <w:pStyle w:val="Body"/>
      </w:pPr>
      <w:r w:rsidRPr="002F1F94">
        <w:t xml:space="preserve">Jurisdictions should have some level of flexibility in designing how to strategically allocate such funds based on their regional context and the particularities of their homeless population, while again being held accountable to meet their obligation to house their residents. </w:t>
      </w:r>
    </w:p>
    <w:p w14:paraId="4BCD3AA9" w14:textId="45464160" w:rsidR="001D2AB9" w:rsidRPr="002F1F94" w:rsidRDefault="00C86F7B" w:rsidP="00985AAD">
      <w:pPr>
        <w:pStyle w:val="Body"/>
        <w:spacing w:after="0" w:line="259" w:lineRule="auto"/>
        <w:ind w:left="0" w:firstLine="0"/>
        <w:jc w:val="left"/>
        <w:rPr>
          <w:b/>
          <w:bCs/>
        </w:rPr>
      </w:pPr>
      <w:r w:rsidRPr="002F1F94">
        <w:t xml:space="preserve"> </w:t>
      </w:r>
    </w:p>
    <w:p w14:paraId="71F8428F" w14:textId="77777777" w:rsidR="001D2AB9" w:rsidRPr="002F1F94" w:rsidRDefault="001D2AB9" w:rsidP="00C86F7B">
      <w:pPr>
        <w:pStyle w:val="Body"/>
        <w:ind w:left="0" w:firstLine="0"/>
        <w:jc w:val="left"/>
        <w:rPr>
          <w:b/>
          <w:bCs/>
        </w:rPr>
      </w:pPr>
    </w:p>
    <w:p w14:paraId="4533D98E" w14:textId="569BEAE9" w:rsidR="00C86F7B" w:rsidRPr="002F1F94" w:rsidRDefault="00C86F7B" w:rsidP="00C86F7B">
      <w:pPr>
        <w:pStyle w:val="Body"/>
        <w:ind w:left="0" w:firstLine="0"/>
        <w:jc w:val="left"/>
      </w:pPr>
      <w:r w:rsidRPr="002F1F94">
        <w:rPr>
          <w:b/>
          <w:bCs/>
        </w:rPr>
        <w:t xml:space="preserve">Provide Annual Allocation to Fund HHAPP Over </w:t>
      </w:r>
      <w:r w:rsidR="00154B12">
        <w:rPr>
          <w:b/>
          <w:bCs/>
        </w:rPr>
        <w:t>its</w:t>
      </w:r>
      <w:r w:rsidRPr="002F1F94">
        <w:rPr>
          <w:b/>
          <w:bCs/>
        </w:rPr>
        <w:t xml:space="preserve"> Five-Year Cycle. </w:t>
      </w:r>
    </w:p>
    <w:p w14:paraId="712DFCB7" w14:textId="77777777" w:rsidR="00C86F7B" w:rsidRPr="002F1F94" w:rsidRDefault="00C86F7B" w:rsidP="00C86F7B">
      <w:pPr>
        <w:pStyle w:val="Body"/>
        <w:spacing w:after="0" w:line="259" w:lineRule="auto"/>
        <w:ind w:left="0" w:firstLine="0"/>
        <w:jc w:val="left"/>
      </w:pPr>
      <w:r w:rsidRPr="002F1F94">
        <w:t xml:space="preserve"> </w:t>
      </w:r>
    </w:p>
    <w:p w14:paraId="0C44FA69" w14:textId="77777777" w:rsidR="00C86F7B" w:rsidRPr="002F1F94" w:rsidRDefault="00C86F7B" w:rsidP="00C86F7B">
      <w:pPr>
        <w:pStyle w:val="Body"/>
        <w:numPr>
          <w:ilvl w:val="0"/>
          <w:numId w:val="2"/>
        </w:numPr>
        <w:spacing w:after="29"/>
        <w:jc w:val="left"/>
      </w:pPr>
      <w:r w:rsidRPr="002F1F94">
        <w:t xml:space="preserve">Applications should focus on the three challenge areas outlined in your September 27th letter to the Governor’s Council. </w:t>
      </w:r>
    </w:p>
    <w:p w14:paraId="4D47406C" w14:textId="77777777" w:rsidR="00C86F7B" w:rsidRPr="002F1F94" w:rsidRDefault="00C86F7B" w:rsidP="00C86F7B">
      <w:pPr>
        <w:pStyle w:val="Body"/>
        <w:spacing w:after="192"/>
        <w:ind w:left="720"/>
      </w:pPr>
    </w:p>
    <w:p w14:paraId="417F4481" w14:textId="77777777" w:rsidR="00C86F7B" w:rsidRPr="002F1F94" w:rsidRDefault="00C86F7B" w:rsidP="00C86F7B">
      <w:pPr>
        <w:pStyle w:val="Body"/>
        <w:ind w:left="0" w:firstLine="0"/>
        <w:jc w:val="left"/>
      </w:pPr>
      <w:r w:rsidRPr="002F1F94">
        <w:rPr>
          <w:b/>
          <w:bCs/>
          <w:lang w:val="fr-FR"/>
        </w:rPr>
        <w:t>Provide Augmentations to</w:t>
      </w:r>
      <w:r w:rsidRPr="002F1F94">
        <w:rPr>
          <w:b/>
          <w:bCs/>
        </w:rPr>
        <w:t xml:space="preserve"> SSI, SSP, Cal-EITC, and Adult Protective Services Specifically Targeted to Those at Highest Risk of Becoming Homeless and Those Newly Homeless. </w:t>
      </w:r>
    </w:p>
    <w:p w14:paraId="4A73D776" w14:textId="77777777" w:rsidR="00C86F7B" w:rsidRPr="002F1F94" w:rsidRDefault="00C86F7B" w:rsidP="00C86F7B">
      <w:pPr>
        <w:pStyle w:val="Body"/>
        <w:spacing w:after="0" w:line="259" w:lineRule="auto"/>
        <w:ind w:left="0" w:firstLine="0"/>
        <w:jc w:val="left"/>
      </w:pPr>
      <w:r w:rsidRPr="002F1F94">
        <w:t xml:space="preserve"> </w:t>
      </w:r>
    </w:p>
    <w:p w14:paraId="591DB876" w14:textId="675EECF9" w:rsidR="00C86F7B" w:rsidRPr="002F1F94" w:rsidRDefault="00C86F7B" w:rsidP="00C86F7B">
      <w:pPr>
        <w:pStyle w:val="Body"/>
        <w:numPr>
          <w:ilvl w:val="0"/>
          <w:numId w:val="2"/>
        </w:numPr>
        <w:spacing w:after="49"/>
        <w:jc w:val="left"/>
      </w:pPr>
      <w:r w:rsidRPr="002F1F94">
        <w:t>Research demonstrates that a significant percentage of people falling into homelessness are over 50 and homeless for the first time</w:t>
      </w:r>
      <w:r w:rsidR="008E4474">
        <w:t>, primarily due to economic factors</w:t>
      </w:r>
      <w:r w:rsidRPr="002F1F94">
        <w:t xml:space="preserve">. </w:t>
      </w:r>
    </w:p>
    <w:p w14:paraId="643A649A" w14:textId="025BBCDC" w:rsidR="00C86F7B" w:rsidRPr="002F1F94" w:rsidRDefault="00C86F7B" w:rsidP="00C86F7B">
      <w:pPr>
        <w:pStyle w:val="Body"/>
        <w:numPr>
          <w:ilvl w:val="0"/>
          <w:numId w:val="2"/>
        </w:numPr>
        <w:jc w:val="left"/>
      </w:pPr>
      <w:r w:rsidRPr="002F1F94">
        <w:t xml:space="preserve">Studies also indicate augmentations to current benefits open the door to housing for many people experiencing homelessness and to people at greatest risk of falling into homelessness. </w:t>
      </w:r>
      <w:r w:rsidR="00FC2635" w:rsidRPr="00FC2635">
        <w:t>Additionally, persons on SSI who are paying a disproportionate portion of their SSI on housing need shallow rent subsidies to maintain their housing and not add to the number of homeless individuals.</w:t>
      </w:r>
    </w:p>
    <w:p w14:paraId="2F324AB4" w14:textId="77777777" w:rsidR="00C86F7B" w:rsidRPr="002F1F94" w:rsidRDefault="00C86F7B" w:rsidP="00C86F7B">
      <w:pPr>
        <w:pStyle w:val="Body"/>
        <w:numPr>
          <w:ilvl w:val="0"/>
          <w:numId w:val="2"/>
        </w:numPr>
        <w:jc w:val="left"/>
      </w:pPr>
      <w:r w:rsidRPr="002F1F94">
        <w:t xml:space="preserve">The State’s Adult Protective Services Program is encountering an increasing number of victims of abuse, neglect and self-neglect who become or are at very high risk of homelessness. </w:t>
      </w:r>
    </w:p>
    <w:p w14:paraId="37689E4D" w14:textId="77777777" w:rsidR="00C86F7B" w:rsidRPr="002F1F94" w:rsidRDefault="00C86F7B" w:rsidP="00C86F7B">
      <w:pPr>
        <w:pStyle w:val="Body"/>
        <w:numPr>
          <w:ilvl w:val="0"/>
          <w:numId w:val="2"/>
        </w:numPr>
        <w:jc w:val="left"/>
      </w:pPr>
      <w:r w:rsidRPr="002F1F94">
        <w:t xml:space="preserve">We recommend investment in this successful program to prevent homelessness to intervene early for those at high risk by: lowering the eligibility age to 60 (from 65), providing longer term and more intensive case-management for homeless and at-risk clients, expanding the Home Safe Program and providing opportunities for more counties to establish multi-agency Financial Abuse Specialist Teams and Forensic Centers. </w:t>
      </w:r>
    </w:p>
    <w:p w14:paraId="438DD1AE" w14:textId="77777777" w:rsidR="00C86F7B" w:rsidRPr="002F1F94" w:rsidRDefault="00C86F7B" w:rsidP="00C86F7B">
      <w:pPr>
        <w:pStyle w:val="Body"/>
        <w:spacing w:after="189"/>
        <w:ind w:left="360"/>
      </w:pPr>
    </w:p>
    <w:p w14:paraId="4BBE241A" w14:textId="77777777" w:rsidR="003A304C" w:rsidRPr="002F1F94" w:rsidRDefault="003A304C" w:rsidP="003A304C">
      <w:pPr>
        <w:pStyle w:val="Body"/>
        <w:ind w:left="0" w:firstLine="0"/>
        <w:jc w:val="left"/>
      </w:pPr>
      <w:r>
        <w:rPr>
          <w:b/>
          <w:bCs/>
        </w:rPr>
        <w:t xml:space="preserve">Fund, </w:t>
      </w:r>
      <w:r w:rsidRPr="002F1F94">
        <w:rPr>
          <w:b/>
          <w:bCs/>
        </w:rPr>
        <w:t>Streamline</w:t>
      </w:r>
      <w:r>
        <w:rPr>
          <w:b/>
          <w:bCs/>
        </w:rPr>
        <w:t>,</w:t>
      </w:r>
      <w:r w:rsidRPr="002F1F94">
        <w:rPr>
          <w:b/>
          <w:bCs/>
        </w:rPr>
        <w:t xml:space="preserve"> and Incentivize </w:t>
      </w:r>
      <w:r>
        <w:rPr>
          <w:b/>
          <w:bCs/>
        </w:rPr>
        <w:t xml:space="preserve">Permanent </w:t>
      </w:r>
      <w:r w:rsidRPr="002F1F94">
        <w:rPr>
          <w:b/>
          <w:bCs/>
        </w:rPr>
        <w:t xml:space="preserve">Supportive </w:t>
      </w:r>
      <w:r>
        <w:rPr>
          <w:b/>
          <w:bCs/>
        </w:rPr>
        <w:t xml:space="preserve">Housing </w:t>
      </w:r>
      <w:r w:rsidRPr="002F1F94">
        <w:rPr>
          <w:b/>
          <w:bCs/>
        </w:rPr>
        <w:t xml:space="preserve">and </w:t>
      </w:r>
      <w:r>
        <w:rPr>
          <w:b/>
          <w:bCs/>
        </w:rPr>
        <w:t>Housing for Extremely Low-Income Households</w:t>
      </w:r>
    </w:p>
    <w:p w14:paraId="587BC7D2" w14:textId="77777777" w:rsidR="003A304C" w:rsidRPr="002F1F94" w:rsidRDefault="003A304C" w:rsidP="003A304C">
      <w:pPr>
        <w:pStyle w:val="Body"/>
        <w:spacing w:after="0" w:line="259" w:lineRule="auto"/>
        <w:ind w:left="0" w:firstLine="0"/>
        <w:jc w:val="left"/>
      </w:pPr>
      <w:r w:rsidRPr="002F1F94">
        <w:rPr>
          <w:b/>
          <w:bCs/>
        </w:rPr>
        <w:t xml:space="preserve"> </w:t>
      </w:r>
    </w:p>
    <w:p w14:paraId="1FAD9CFB" w14:textId="77777777" w:rsidR="003A304C" w:rsidRDefault="003A304C" w:rsidP="003A304C">
      <w:pPr>
        <w:pStyle w:val="Body"/>
        <w:numPr>
          <w:ilvl w:val="0"/>
          <w:numId w:val="2"/>
        </w:numPr>
        <w:jc w:val="left"/>
      </w:pPr>
      <w:r>
        <w:t>Explore ways to fund housing for extremely low-income households, both through better targeting of existing housing resources and through additional funding. Resources could fund construction of new ELI housing, acquisition of existing units that could be reserved for ELI households, preservation of existing sources of deeply affordable housing, ongoing rental subsidies, operating reserves to allow for deeper targeting of affordable housing units, etc.</w:t>
      </w:r>
    </w:p>
    <w:p w14:paraId="626C0CEB" w14:textId="77777777" w:rsidR="003A304C" w:rsidRPr="002F1F94" w:rsidRDefault="003A304C" w:rsidP="003A304C">
      <w:pPr>
        <w:pStyle w:val="Body"/>
        <w:numPr>
          <w:ilvl w:val="0"/>
          <w:numId w:val="2"/>
        </w:numPr>
        <w:jc w:val="left"/>
      </w:pPr>
      <w:r w:rsidRPr="002F1F94">
        <w:t xml:space="preserve">Exempt from CEQA </w:t>
      </w:r>
      <w:r>
        <w:t xml:space="preserve">all actions taken in furtherance of creating high-quality </w:t>
      </w:r>
      <w:r w:rsidRPr="002F1F94">
        <w:t xml:space="preserve">housing opportunities for people </w:t>
      </w:r>
      <w:r>
        <w:t xml:space="preserve">at risk of or </w:t>
      </w:r>
      <w:r w:rsidRPr="002F1F94">
        <w:t xml:space="preserve">experiencing homelessness </w:t>
      </w:r>
    </w:p>
    <w:p w14:paraId="66387500" w14:textId="77777777" w:rsidR="003A304C" w:rsidRPr="002F1F94" w:rsidRDefault="003A304C" w:rsidP="003A304C">
      <w:pPr>
        <w:pStyle w:val="Body"/>
        <w:numPr>
          <w:ilvl w:val="0"/>
          <w:numId w:val="2"/>
        </w:numPr>
        <w:jc w:val="left"/>
      </w:pPr>
      <w:r w:rsidRPr="002F1F94">
        <w:t xml:space="preserve">Consolidate </w:t>
      </w:r>
      <w:r>
        <w:t xml:space="preserve">state </w:t>
      </w:r>
      <w:r w:rsidRPr="002F1F94">
        <w:t>housing-related function</w:t>
      </w:r>
      <w:r>
        <w:t>s</w:t>
      </w:r>
      <w:r w:rsidRPr="002F1F94">
        <w:t xml:space="preserve"> and </w:t>
      </w:r>
      <w:r>
        <w:t>funding programs</w:t>
      </w:r>
      <w:r w:rsidRPr="002F1F94">
        <w:t xml:space="preserve"> to create more efficiencies and reduce the timeframes for financing projects. </w:t>
      </w:r>
    </w:p>
    <w:p w14:paraId="1EED74D7" w14:textId="77777777" w:rsidR="003A304C" w:rsidRPr="002F1F94" w:rsidRDefault="003A304C" w:rsidP="003A304C">
      <w:pPr>
        <w:pStyle w:val="Body"/>
        <w:numPr>
          <w:ilvl w:val="0"/>
          <w:numId w:val="2"/>
        </w:numPr>
        <w:jc w:val="left"/>
      </w:pPr>
      <w:r w:rsidRPr="002F1F94">
        <w:t xml:space="preserve">Support legislation, potentially including an increase to the welfare tax exemption, to spur the development of more </w:t>
      </w:r>
      <w:r>
        <w:t xml:space="preserve">deeply </w:t>
      </w:r>
      <w:r w:rsidRPr="002F1F94">
        <w:t xml:space="preserve">affordable housing Explore opportunities to work with local governments to stimulate private sector investment in the scaling of innovative </w:t>
      </w:r>
      <w:r>
        <w:t xml:space="preserve">deeply affordable </w:t>
      </w:r>
      <w:r w:rsidRPr="002F1F94">
        <w:t>housing production</w:t>
      </w:r>
      <w:r>
        <w:t>,</w:t>
      </w:r>
      <w:r w:rsidRPr="002F1F94">
        <w:t xml:space="preserve"> including cost effective and timely hotel/motel conversions, ADUs</w:t>
      </w:r>
      <w:r>
        <w:t>,</w:t>
      </w:r>
      <w:r w:rsidRPr="002F1F94">
        <w:t xml:space="preserve"> and modular prefab micro units. </w:t>
      </w:r>
    </w:p>
    <w:p w14:paraId="16A82EE7" w14:textId="77777777" w:rsidR="003A304C" w:rsidRDefault="003A304C" w:rsidP="003A304C">
      <w:pPr>
        <w:pStyle w:val="Body"/>
        <w:numPr>
          <w:ilvl w:val="0"/>
          <w:numId w:val="2"/>
        </w:numPr>
        <w:jc w:val="left"/>
      </w:pPr>
      <w:r w:rsidRPr="002F1F94">
        <w:t xml:space="preserve">The State should offer local jurisdictions some flexibility over a percentage of existing state affordable housing dollars to invest in other high-quality housing prototypes which require less of a per unit subsidy or create more </w:t>
      </w:r>
      <w:r>
        <w:t xml:space="preserve">deeply affordable </w:t>
      </w:r>
      <w:r w:rsidRPr="002F1F94">
        <w:t>housing opportunities more quickly. The state has a unique opportunity to catalyze a new ‘</w:t>
      </w:r>
      <w:r w:rsidRPr="003A304C">
        <w:t>Silicon Valley moment</w:t>
      </w:r>
      <w:r w:rsidRPr="002F1F94">
        <w:t xml:space="preserve">’ and launch new industries for high volume, lower cost housing throughout California. </w:t>
      </w:r>
    </w:p>
    <w:p w14:paraId="4D1C22BE" w14:textId="77777777" w:rsidR="003A304C" w:rsidRPr="002F1F94" w:rsidRDefault="003A304C" w:rsidP="003A304C">
      <w:pPr>
        <w:pStyle w:val="Body"/>
        <w:numPr>
          <w:ilvl w:val="0"/>
          <w:numId w:val="2"/>
        </w:numPr>
        <w:jc w:val="left"/>
      </w:pPr>
      <w:r w:rsidRPr="002F1F94">
        <w:t xml:space="preserve">A portion of homeless funding should be set aside as a competitive resource to stimulate innovative initiatives that would scale </w:t>
      </w:r>
      <w:r>
        <w:t xml:space="preserve">deeply affordable </w:t>
      </w:r>
      <w:r w:rsidRPr="002F1F94">
        <w:t xml:space="preserve">housing production and employment opportunities. These innovative ideas would be funded directly, and recipients would work with communities to implement these innovations. Given that </w:t>
      </w:r>
      <w:r>
        <w:t xml:space="preserve">deeply affordable </w:t>
      </w:r>
      <w:r w:rsidRPr="002F1F94">
        <w:t>housing production and access are essential to the overall mandate, acceleration of access to units is critical.</w:t>
      </w:r>
    </w:p>
    <w:p w14:paraId="2FB03FCE" w14:textId="77777777" w:rsidR="00881143" w:rsidRPr="002F1F94" w:rsidRDefault="00881143" w:rsidP="003A304C">
      <w:pPr>
        <w:pStyle w:val="Body"/>
        <w:ind w:left="360" w:firstLine="0"/>
        <w:jc w:val="left"/>
      </w:pPr>
    </w:p>
    <w:p w14:paraId="55BC1C62" w14:textId="77777777" w:rsidR="00E404B3" w:rsidRDefault="00E404B3" w:rsidP="00E404B3">
      <w:pPr>
        <w:pStyle w:val="Body"/>
        <w:ind w:left="0" w:firstLine="0"/>
        <w:jc w:val="left"/>
      </w:pPr>
      <w:r w:rsidRPr="002F1F94">
        <w:t xml:space="preserve">Governor, you have demonstrated the vision, will, and unprecedented resources to change the commonly held belief that homelessness is beyond repair. Homelessness need not be hopelessness. </w:t>
      </w:r>
    </w:p>
    <w:p w14:paraId="2C99B2BF" w14:textId="77777777" w:rsidR="00E404B3" w:rsidRDefault="00E404B3" w:rsidP="00E404B3">
      <w:pPr>
        <w:pStyle w:val="Body"/>
        <w:ind w:left="0" w:firstLine="0"/>
        <w:jc w:val="left"/>
      </w:pPr>
    </w:p>
    <w:p w14:paraId="1F6B0661" w14:textId="77777777" w:rsidR="00E404B3" w:rsidRDefault="00E404B3" w:rsidP="00E404B3">
      <w:pPr>
        <w:pStyle w:val="Body"/>
        <w:ind w:left="0" w:firstLine="0"/>
        <w:jc w:val="left"/>
      </w:pPr>
      <w:r>
        <w:t xml:space="preserve">We applaud you for your January 8th announcement that you will use your unique authority to facilitate Executive Orders that will harness the State’s real estate and human capital in ways never proposed before to confront this humanitarian crisis – along with proposed funding allocations for next year’s budget to further increase the State’s investment. </w:t>
      </w:r>
    </w:p>
    <w:p w14:paraId="67E08B88" w14:textId="77777777" w:rsidR="00E404B3" w:rsidRDefault="00E404B3" w:rsidP="00E404B3">
      <w:pPr>
        <w:pStyle w:val="Body"/>
        <w:ind w:left="0" w:firstLine="0"/>
        <w:jc w:val="left"/>
      </w:pPr>
    </w:p>
    <w:p w14:paraId="2C55C782" w14:textId="6B0B8ADE" w:rsidR="00E404B3" w:rsidRPr="002F1F94" w:rsidRDefault="00E404B3" w:rsidP="00E404B3">
      <w:pPr>
        <w:pStyle w:val="Body"/>
        <w:ind w:left="0" w:firstLine="0"/>
        <w:jc w:val="left"/>
      </w:pPr>
      <w:r w:rsidRPr="002F1F94">
        <w:t>We trust that</w:t>
      </w:r>
      <w:r w:rsidRPr="00E2197E">
        <w:t xml:space="preserve"> </w:t>
      </w:r>
      <w:r w:rsidRPr="002F1F94">
        <w:t xml:space="preserve">with your leadership, these initial </w:t>
      </w:r>
      <w:r>
        <w:t xml:space="preserve">and complimentary set of </w:t>
      </w:r>
      <w:r w:rsidRPr="002F1F94">
        <w:t>recommendations</w:t>
      </w:r>
      <w:r>
        <w:t xml:space="preserve"> which are further articulated in the attached Comprehensive Crisis Response Strategy </w:t>
      </w:r>
      <w:r w:rsidRPr="002F1F94">
        <w:t xml:space="preserve">will lead to a new and better day for California’s most vulnerable citizens. We look forward to continuing our work together. </w:t>
      </w:r>
    </w:p>
    <w:p w14:paraId="077F560F" w14:textId="77777777" w:rsidR="00C86F7B" w:rsidRPr="002F1F94" w:rsidRDefault="00C86F7B" w:rsidP="00C86F7B">
      <w:pPr>
        <w:pStyle w:val="Body"/>
        <w:ind w:left="0" w:firstLine="0"/>
        <w:jc w:val="left"/>
      </w:pPr>
    </w:p>
    <w:p w14:paraId="3775C099" w14:textId="7EF7CEA1" w:rsidR="00C86F7B" w:rsidRPr="002F1F94" w:rsidRDefault="00C86F7B" w:rsidP="00C86F7B">
      <w:pPr>
        <w:pStyle w:val="Body"/>
        <w:ind w:left="0" w:firstLine="0"/>
        <w:jc w:val="left"/>
      </w:pPr>
      <w:r w:rsidRPr="002F1F94">
        <w:t xml:space="preserve">With hope, </w:t>
      </w:r>
    </w:p>
    <w:p w14:paraId="3B6A7B95" w14:textId="77777777" w:rsidR="00C86F7B" w:rsidRPr="002F1F94" w:rsidRDefault="00C86F7B" w:rsidP="00C86F7B">
      <w:pPr>
        <w:pStyle w:val="Body"/>
        <w:ind w:left="0" w:firstLine="0"/>
        <w:jc w:val="left"/>
      </w:pPr>
    </w:p>
    <w:p w14:paraId="3099EAC0" w14:textId="77777777" w:rsidR="00C86F7B" w:rsidRPr="002F1F94" w:rsidRDefault="00C86F7B" w:rsidP="00C86F7B">
      <w:pPr>
        <w:pStyle w:val="Body"/>
        <w:widowControl w:val="0"/>
        <w:spacing w:line="240" w:lineRule="auto"/>
        <w:ind w:left="0" w:firstLine="0"/>
        <w:jc w:val="left"/>
      </w:pPr>
    </w:p>
    <w:p w14:paraId="1BCF923B" w14:textId="77777777" w:rsidR="00C86F7B" w:rsidRPr="002F1F94" w:rsidRDefault="00C86F7B" w:rsidP="00C86F7B">
      <w:pPr>
        <w:pStyle w:val="Body"/>
        <w:spacing w:after="0" w:line="259" w:lineRule="auto"/>
        <w:ind w:left="0" w:firstLine="0"/>
        <w:jc w:val="left"/>
      </w:pPr>
      <w:r w:rsidRPr="002F1F94">
        <w:t xml:space="preserve"> </w:t>
      </w:r>
    </w:p>
    <w:p w14:paraId="2A6D1BD9" w14:textId="0A9FEA7D" w:rsidR="00C86F7B" w:rsidRDefault="00C86F7B" w:rsidP="00A84255">
      <w:pPr>
        <w:rPr>
          <w:rFonts w:eastAsia="Times New Roman"/>
        </w:rPr>
      </w:pPr>
    </w:p>
    <w:tbl>
      <w:tblPr>
        <w:tblW w:w="9354" w:type="dxa"/>
        <w:tblInd w:w="108" w:type="dxa"/>
        <w:shd w:val="clear" w:color="auto" w:fill="CDD4E9"/>
        <w:tblLayout w:type="fixed"/>
        <w:tblLook w:val="04A0" w:firstRow="1" w:lastRow="0" w:firstColumn="1" w:lastColumn="0" w:noHBand="0" w:noVBand="1"/>
      </w:tblPr>
      <w:tblGrid>
        <w:gridCol w:w="4677"/>
        <w:gridCol w:w="4677"/>
      </w:tblGrid>
      <w:tr w:rsidR="006F17A9" w:rsidRPr="006531A8" w14:paraId="05F8C06C" w14:textId="77777777" w:rsidTr="00D61765">
        <w:trPr>
          <w:trHeight w:val="292"/>
        </w:trPr>
        <w:tc>
          <w:tcPr>
            <w:tcW w:w="4677" w:type="dxa"/>
            <w:shd w:val="clear" w:color="auto" w:fill="auto"/>
            <w:tcMar>
              <w:top w:w="80" w:type="dxa"/>
              <w:left w:w="80" w:type="dxa"/>
              <w:bottom w:w="80" w:type="dxa"/>
              <w:right w:w="80" w:type="dxa"/>
            </w:tcMar>
          </w:tcPr>
          <w:p w14:paraId="535A33A0" w14:textId="77777777" w:rsidR="006F17A9" w:rsidRPr="006531A8" w:rsidRDefault="006F17A9" w:rsidP="00EC1846">
            <w:pPr>
              <w:rPr>
                <w:rFonts w:ascii="Arial" w:hAnsi="Arial" w:cs="Arial"/>
                <w:sz w:val="24"/>
                <w:szCs w:val="24"/>
              </w:rPr>
            </w:pPr>
            <w:r w:rsidRPr="006531A8">
              <w:rPr>
                <w:rFonts w:ascii="Arial" w:hAnsi="Arial" w:cs="Arial"/>
                <w:noProof/>
                <w:sz w:val="24"/>
                <w:szCs w:val="24"/>
              </w:rPr>
              <w:drawing>
                <wp:anchor distT="0" distB="0" distL="114300" distR="114300" simplePos="0" relativeHeight="251651584" behindDoc="0" locked="0" layoutInCell="1" allowOverlap="1" wp14:anchorId="75A90E5C" wp14:editId="7198D67B">
                  <wp:simplePos x="0" y="0"/>
                  <wp:positionH relativeFrom="column">
                    <wp:posOffset>-1905</wp:posOffset>
                  </wp:positionH>
                  <wp:positionV relativeFrom="paragraph">
                    <wp:posOffset>172720</wp:posOffset>
                  </wp:positionV>
                  <wp:extent cx="1504950" cy="490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shd w:val="clear" w:color="auto" w:fill="auto"/>
            <w:tcMar>
              <w:top w:w="80" w:type="dxa"/>
              <w:left w:w="80" w:type="dxa"/>
              <w:bottom w:w="80" w:type="dxa"/>
              <w:right w:w="80" w:type="dxa"/>
            </w:tcMar>
          </w:tcPr>
          <w:p w14:paraId="467B5F03" w14:textId="77777777" w:rsidR="006F17A9" w:rsidRPr="006531A8" w:rsidRDefault="006F17A9" w:rsidP="00EC1846">
            <w:pPr>
              <w:pStyle w:val="Body"/>
              <w:ind w:left="0" w:firstLine="0"/>
              <w:jc w:val="left"/>
              <w:rPr>
                <w:rFonts w:cs="Arial"/>
              </w:rPr>
            </w:pPr>
            <w:r w:rsidRPr="006531A8">
              <w:rPr>
                <w:rFonts w:cs="Arial"/>
              </w:rPr>
              <w:t xml:space="preserve"> </w:t>
            </w:r>
            <w:r w:rsidRPr="006531A8">
              <w:rPr>
                <w:rFonts w:eastAsia="Times New Roman" w:cs="Arial"/>
                <w:noProof/>
              </w:rPr>
              <w:drawing>
                <wp:anchor distT="0" distB="0" distL="114300" distR="114300" simplePos="0" relativeHeight="251654656" behindDoc="0" locked="0" layoutInCell="1" allowOverlap="1" wp14:anchorId="0F691EA7" wp14:editId="4EC9AAC8">
                  <wp:simplePos x="0" y="0"/>
                  <wp:positionH relativeFrom="column">
                    <wp:posOffset>0</wp:posOffset>
                  </wp:positionH>
                  <wp:positionV relativeFrom="paragraph">
                    <wp:posOffset>182245</wp:posOffset>
                  </wp:positionV>
                  <wp:extent cx="2205355" cy="533400"/>
                  <wp:effectExtent l="0" t="0" r="4445" b="0"/>
                  <wp:wrapSquare wrapText="bothSides"/>
                  <wp:docPr id="1" name="Picture 1" descr="cid:4BB31ADD-F1CE-4536-8097-96355D29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B31ADD-F1CE-4536-8097-96355D293166" descr="cid:4BB31ADD-F1CE-4536-8097-96355D293166"/>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053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17A9" w:rsidRPr="006531A8" w14:paraId="34F06147" w14:textId="77777777" w:rsidTr="00D61765">
        <w:trPr>
          <w:trHeight w:val="292"/>
        </w:trPr>
        <w:tc>
          <w:tcPr>
            <w:tcW w:w="4677" w:type="dxa"/>
            <w:shd w:val="clear" w:color="auto" w:fill="auto"/>
            <w:tcMar>
              <w:top w:w="80" w:type="dxa"/>
              <w:left w:w="80" w:type="dxa"/>
              <w:bottom w:w="80" w:type="dxa"/>
              <w:right w:w="80" w:type="dxa"/>
            </w:tcMar>
          </w:tcPr>
          <w:p w14:paraId="32FAA9E8" w14:textId="77777777" w:rsidR="006F17A9" w:rsidRPr="006531A8" w:rsidRDefault="006F17A9" w:rsidP="00EC1846">
            <w:pPr>
              <w:pStyle w:val="Body"/>
              <w:ind w:left="0" w:firstLine="0"/>
              <w:jc w:val="left"/>
              <w:rPr>
                <w:rFonts w:cs="Arial"/>
              </w:rPr>
            </w:pPr>
            <w:r w:rsidRPr="006531A8">
              <w:rPr>
                <w:rFonts w:cs="Arial"/>
                <w:b/>
                <w:bCs/>
              </w:rPr>
              <w:t xml:space="preserve">DARRELL STEINBERG </w:t>
            </w:r>
          </w:p>
        </w:tc>
        <w:tc>
          <w:tcPr>
            <w:tcW w:w="4677" w:type="dxa"/>
            <w:shd w:val="clear" w:color="auto" w:fill="auto"/>
            <w:tcMar>
              <w:top w:w="80" w:type="dxa"/>
              <w:left w:w="80" w:type="dxa"/>
              <w:bottom w:w="80" w:type="dxa"/>
              <w:right w:w="80" w:type="dxa"/>
            </w:tcMar>
          </w:tcPr>
          <w:p w14:paraId="5554E55F" w14:textId="77777777" w:rsidR="006F17A9" w:rsidRPr="006531A8" w:rsidRDefault="006F17A9" w:rsidP="00EC1846">
            <w:pPr>
              <w:pStyle w:val="Body"/>
              <w:ind w:left="0" w:firstLine="0"/>
              <w:jc w:val="left"/>
              <w:rPr>
                <w:rFonts w:cs="Arial"/>
              </w:rPr>
            </w:pPr>
            <w:r w:rsidRPr="006531A8">
              <w:rPr>
                <w:rFonts w:cs="Arial"/>
                <w:b/>
                <w:bCs/>
              </w:rPr>
              <w:t>MARK RIDLEY-THOMAS</w:t>
            </w:r>
          </w:p>
        </w:tc>
      </w:tr>
      <w:tr w:rsidR="006F17A9" w:rsidRPr="006531A8" w14:paraId="079688F5" w14:textId="77777777" w:rsidTr="00D61765">
        <w:trPr>
          <w:trHeight w:val="558"/>
        </w:trPr>
        <w:tc>
          <w:tcPr>
            <w:tcW w:w="4677" w:type="dxa"/>
            <w:shd w:val="clear" w:color="auto" w:fill="auto"/>
            <w:tcMar>
              <w:top w:w="80" w:type="dxa"/>
              <w:left w:w="80" w:type="dxa"/>
              <w:bottom w:w="80" w:type="dxa"/>
              <w:right w:w="80" w:type="dxa"/>
            </w:tcMar>
          </w:tcPr>
          <w:p w14:paraId="04D0ACA0" w14:textId="77777777" w:rsidR="006F17A9" w:rsidRPr="006531A8" w:rsidRDefault="006F17A9" w:rsidP="00EC1846">
            <w:pPr>
              <w:pStyle w:val="Body"/>
              <w:ind w:left="0" w:firstLine="0"/>
              <w:jc w:val="left"/>
              <w:rPr>
                <w:rFonts w:cs="Arial"/>
              </w:rPr>
            </w:pPr>
            <w:r w:rsidRPr="006531A8">
              <w:rPr>
                <w:rFonts w:cs="Arial"/>
              </w:rPr>
              <w:t>Mayor, City of Sacramento</w:t>
            </w:r>
          </w:p>
          <w:p w14:paraId="547B22B5" w14:textId="77777777" w:rsidR="006F17A9" w:rsidRPr="006531A8" w:rsidRDefault="006F17A9" w:rsidP="00EC1846">
            <w:pPr>
              <w:pStyle w:val="Body"/>
              <w:ind w:left="0"/>
              <w:jc w:val="left"/>
              <w:rPr>
                <w:rFonts w:cs="Arial"/>
              </w:rPr>
            </w:pPr>
            <w:r w:rsidRPr="006531A8">
              <w:rPr>
                <w:rFonts w:cs="Arial"/>
              </w:rPr>
              <w:t>Co-Chair, Governor’s Council</w:t>
            </w:r>
          </w:p>
        </w:tc>
        <w:tc>
          <w:tcPr>
            <w:tcW w:w="4677" w:type="dxa"/>
            <w:shd w:val="clear" w:color="auto" w:fill="auto"/>
            <w:tcMar>
              <w:top w:w="80" w:type="dxa"/>
              <w:left w:w="80" w:type="dxa"/>
              <w:bottom w:w="80" w:type="dxa"/>
              <w:right w:w="80" w:type="dxa"/>
            </w:tcMar>
          </w:tcPr>
          <w:p w14:paraId="12EF5685" w14:textId="77777777" w:rsidR="006F17A9" w:rsidRPr="006531A8" w:rsidRDefault="006F17A9" w:rsidP="00EC1846">
            <w:pPr>
              <w:pStyle w:val="Body"/>
              <w:ind w:left="0" w:firstLine="0"/>
              <w:jc w:val="left"/>
              <w:rPr>
                <w:rFonts w:cs="Arial"/>
              </w:rPr>
            </w:pPr>
            <w:r w:rsidRPr="006531A8">
              <w:rPr>
                <w:rFonts w:cs="Arial"/>
              </w:rPr>
              <w:t xml:space="preserve">Supervisor, County of Los Angeles </w:t>
            </w:r>
          </w:p>
          <w:p w14:paraId="02D6DADA" w14:textId="77777777" w:rsidR="006F17A9" w:rsidRPr="006531A8" w:rsidRDefault="006F17A9" w:rsidP="00EC1846">
            <w:pPr>
              <w:pStyle w:val="Body"/>
              <w:ind w:left="0"/>
              <w:jc w:val="left"/>
              <w:rPr>
                <w:rFonts w:cs="Arial"/>
              </w:rPr>
            </w:pPr>
            <w:r w:rsidRPr="006531A8">
              <w:rPr>
                <w:rFonts w:cs="Arial"/>
              </w:rPr>
              <w:t>Co-Chair, Governor’s Council</w:t>
            </w:r>
          </w:p>
        </w:tc>
      </w:tr>
      <w:tr w:rsidR="006F17A9" w:rsidRPr="006531A8" w14:paraId="07A62A46" w14:textId="77777777" w:rsidTr="00D61765">
        <w:trPr>
          <w:trHeight w:val="117"/>
        </w:trPr>
        <w:tc>
          <w:tcPr>
            <w:tcW w:w="4677" w:type="dxa"/>
            <w:shd w:val="clear" w:color="auto" w:fill="auto"/>
            <w:tcMar>
              <w:top w:w="80" w:type="dxa"/>
              <w:left w:w="80" w:type="dxa"/>
              <w:bottom w:w="80" w:type="dxa"/>
              <w:right w:w="80" w:type="dxa"/>
            </w:tcMar>
          </w:tcPr>
          <w:p w14:paraId="3510D57B" w14:textId="5FA1020A" w:rsidR="006F17A9" w:rsidRPr="006531A8" w:rsidRDefault="006F17A9" w:rsidP="006F17A9">
            <w:pPr>
              <w:rPr>
                <w:rFonts w:ascii="Arial" w:hAnsi="Arial" w:cs="Arial"/>
                <w:sz w:val="24"/>
                <w:szCs w:val="24"/>
              </w:rPr>
            </w:pPr>
            <w:r>
              <w:rPr>
                <w:noProof/>
              </w:rPr>
              <w:drawing>
                <wp:anchor distT="0" distB="0" distL="114300" distR="114300" simplePos="0" relativeHeight="251661824" behindDoc="1" locked="0" layoutInCell="1" allowOverlap="1" wp14:anchorId="3ED8229C" wp14:editId="4CDD45D3">
                  <wp:simplePos x="0" y="0"/>
                  <wp:positionH relativeFrom="column">
                    <wp:posOffset>-46355</wp:posOffset>
                  </wp:positionH>
                  <wp:positionV relativeFrom="paragraph">
                    <wp:posOffset>114300</wp:posOffset>
                  </wp:positionV>
                  <wp:extent cx="2038350" cy="469900"/>
                  <wp:effectExtent l="0" t="0" r="0" b="6350"/>
                  <wp:wrapTight wrapText="bothSides">
                    <wp:wrapPolygon edited="0">
                      <wp:start x="0" y="0"/>
                      <wp:lineTo x="0" y="21016"/>
                      <wp:lineTo x="21398" y="21016"/>
                      <wp:lineTo x="21398" y="0"/>
                      <wp:lineTo x="0" y="0"/>
                    </wp:wrapPolygon>
                  </wp:wrapTight>
                  <wp:docPr id="13" name="image2.jpg"/>
                  <wp:cNvGraphicFramePr/>
                  <a:graphic xmlns:a="http://schemas.openxmlformats.org/drawingml/2006/main">
                    <a:graphicData uri="http://schemas.openxmlformats.org/drawingml/2006/picture">
                      <pic:pic xmlns:pic="http://schemas.openxmlformats.org/drawingml/2006/picture">
                        <pic:nvPicPr>
                          <pic:cNvPr id="8" name="image2.jpg"/>
                          <pic:cNvPicPr/>
                        </pic:nvPicPr>
                        <pic:blipFill>
                          <a:blip r:embed="rId15">
                            <a:extLst>
                              <a:ext uri="{28A0092B-C50C-407E-A947-70E740481C1C}">
                                <a14:useLocalDpi xmlns:a14="http://schemas.microsoft.com/office/drawing/2010/main" val="0"/>
                              </a:ext>
                            </a:extLst>
                          </a:blip>
                          <a:srcRect/>
                          <a:stretch>
                            <a:fillRect/>
                          </a:stretch>
                        </pic:blipFill>
                        <pic:spPr>
                          <a:xfrm>
                            <a:off x="0" y="0"/>
                            <a:ext cx="2038350" cy="469900"/>
                          </a:xfrm>
                          <a:prstGeom prst="rect">
                            <a:avLst/>
                          </a:prstGeom>
                          <a:ln/>
                        </pic:spPr>
                      </pic:pic>
                    </a:graphicData>
                  </a:graphic>
                  <wp14:sizeRelH relativeFrom="margin">
                    <wp14:pctWidth>0</wp14:pctWidth>
                  </wp14:sizeRelH>
                  <wp14:sizeRelV relativeFrom="margin">
                    <wp14:pctHeight>0</wp14:pctHeight>
                  </wp14:sizeRelV>
                </wp:anchor>
              </w:drawing>
            </w:r>
          </w:p>
        </w:tc>
        <w:tc>
          <w:tcPr>
            <w:tcW w:w="4677" w:type="dxa"/>
            <w:shd w:val="clear" w:color="auto" w:fill="auto"/>
            <w:tcMar>
              <w:top w:w="80" w:type="dxa"/>
              <w:left w:w="80" w:type="dxa"/>
              <w:bottom w:w="80" w:type="dxa"/>
              <w:right w:w="80" w:type="dxa"/>
            </w:tcMar>
          </w:tcPr>
          <w:p w14:paraId="61DA9C2D" w14:textId="0C72A8D2" w:rsidR="006F17A9" w:rsidRPr="006531A8" w:rsidRDefault="006F17A9" w:rsidP="00EC1846">
            <w:pPr>
              <w:rPr>
                <w:rFonts w:ascii="Arial" w:hAnsi="Arial" w:cs="Arial"/>
                <w:sz w:val="24"/>
                <w:szCs w:val="24"/>
              </w:rPr>
            </w:pPr>
            <w:r w:rsidRPr="006531A8">
              <w:rPr>
                <w:rFonts w:ascii="Arial" w:hAnsi="Arial" w:cs="Arial"/>
                <w:noProof/>
                <w:sz w:val="24"/>
                <w:szCs w:val="24"/>
              </w:rPr>
              <w:drawing>
                <wp:anchor distT="0" distB="0" distL="114300" distR="114300" simplePos="0" relativeHeight="251664896" behindDoc="1" locked="0" layoutInCell="1" allowOverlap="1" wp14:anchorId="29A9AAC0" wp14:editId="617D9FD9">
                  <wp:simplePos x="0" y="0"/>
                  <wp:positionH relativeFrom="column">
                    <wp:posOffset>-47625</wp:posOffset>
                  </wp:positionH>
                  <wp:positionV relativeFrom="paragraph">
                    <wp:posOffset>111760</wp:posOffset>
                  </wp:positionV>
                  <wp:extent cx="1815912" cy="482634"/>
                  <wp:effectExtent l="0" t="0" r="0" b="0"/>
                  <wp:wrapTight wrapText="bothSides">
                    <wp:wrapPolygon edited="0">
                      <wp:start x="0" y="0"/>
                      <wp:lineTo x="0" y="20463"/>
                      <wp:lineTo x="21305" y="20463"/>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5912" cy="482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64666" w14:textId="65E66293" w:rsidR="006F17A9" w:rsidRPr="006531A8" w:rsidRDefault="006F17A9" w:rsidP="00EC1846">
            <w:pPr>
              <w:rPr>
                <w:rFonts w:ascii="Arial" w:hAnsi="Arial" w:cs="Arial"/>
                <w:sz w:val="24"/>
                <w:szCs w:val="24"/>
              </w:rPr>
            </w:pPr>
          </w:p>
          <w:p w14:paraId="77E78354" w14:textId="331A210C" w:rsidR="006F17A9" w:rsidRPr="006531A8" w:rsidRDefault="006F17A9" w:rsidP="00EC1846">
            <w:pPr>
              <w:rPr>
                <w:rFonts w:ascii="Arial" w:hAnsi="Arial" w:cs="Arial"/>
                <w:sz w:val="24"/>
                <w:szCs w:val="24"/>
              </w:rPr>
            </w:pPr>
          </w:p>
        </w:tc>
      </w:tr>
      <w:tr w:rsidR="006F17A9" w:rsidRPr="006531A8" w14:paraId="755BE0C1" w14:textId="77777777" w:rsidTr="00D61765">
        <w:trPr>
          <w:trHeight w:val="292"/>
        </w:trPr>
        <w:tc>
          <w:tcPr>
            <w:tcW w:w="4677" w:type="dxa"/>
            <w:shd w:val="clear" w:color="auto" w:fill="auto"/>
            <w:tcMar>
              <w:top w:w="80" w:type="dxa"/>
              <w:left w:w="80" w:type="dxa"/>
              <w:bottom w:w="80" w:type="dxa"/>
              <w:right w:w="80" w:type="dxa"/>
            </w:tcMar>
          </w:tcPr>
          <w:p w14:paraId="0CB0838B" w14:textId="77777777" w:rsidR="006F17A9" w:rsidRPr="006531A8" w:rsidRDefault="006F17A9" w:rsidP="00EC1846">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rPr>
                <w:rFonts w:cs="Arial"/>
              </w:rPr>
            </w:pPr>
            <w:r w:rsidRPr="006531A8">
              <w:rPr>
                <w:rFonts w:cs="Arial"/>
                <w:b/>
                <w:bCs/>
              </w:rPr>
              <w:t>MICHELLE CABRERA</w:t>
            </w:r>
          </w:p>
        </w:tc>
        <w:tc>
          <w:tcPr>
            <w:tcW w:w="4677" w:type="dxa"/>
            <w:shd w:val="clear" w:color="auto" w:fill="auto"/>
            <w:tcMar>
              <w:top w:w="80" w:type="dxa"/>
              <w:left w:w="80" w:type="dxa"/>
              <w:bottom w:w="80" w:type="dxa"/>
              <w:right w:w="80" w:type="dxa"/>
            </w:tcMar>
          </w:tcPr>
          <w:p w14:paraId="6AB3233E" w14:textId="77777777" w:rsidR="006F17A9" w:rsidRPr="006531A8" w:rsidRDefault="006F17A9" w:rsidP="00EC1846">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rPr>
                <w:rFonts w:cs="Arial"/>
                <w:b/>
                <w:bCs/>
              </w:rPr>
            </w:pPr>
            <w:r w:rsidRPr="006531A8">
              <w:rPr>
                <w:rFonts w:cs="Arial"/>
                <w:b/>
                <w:bCs/>
              </w:rPr>
              <w:t>NATHAN FLETCHER</w:t>
            </w:r>
          </w:p>
        </w:tc>
      </w:tr>
      <w:tr w:rsidR="006F17A9" w:rsidRPr="006531A8" w14:paraId="7B7C7AC1" w14:textId="77777777" w:rsidTr="00D61765">
        <w:trPr>
          <w:trHeight w:val="292"/>
        </w:trPr>
        <w:tc>
          <w:tcPr>
            <w:tcW w:w="4677" w:type="dxa"/>
            <w:shd w:val="clear" w:color="auto" w:fill="auto"/>
            <w:tcMar>
              <w:top w:w="80" w:type="dxa"/>
              <w:left w:w="80" w:type="dxa"/>
              <w:bottom w:w="80" w:type="dxa"/>
              <w:right w:w="80" w:type="dxa"/>
            </w:tcMar>
          </w:tcPr>
          <w:p w14:paraId="60CA4725" w14:textId="77777777" w:rsidR="006F17A9" w:rsidRPr="006531A8" w:rsidRDefault="006F17A9" w:rsidP="00EC1846">
            <w:pPr>
              <w:rPr>
                <w:rFonts w:ascii="Arial" w:hAnsi="Arial" w:cs="Arial"/>
                <w:sz w:val="24"/>
                <w:szCs w:val="24"/>
              </w:rPr>
            </w:pPr>
            <w:r w:rsidRPr="006531A8">
              <w:rPr>
                <w:rFonts w:ascii="Arial" w:hAnsi="Arial" w:cs="Arial"/>
                <w:sz w:val="24"/>
                <w:szCs w:val="24"/>
              </w:rPr>
              <w:t>Executive Director, County Behavioral Health Directors Association of California</w:t>
            </w:r>
          </w:p>
        </w:tc>
        <w:tc>
          <w:tcPr>
            <w:tcW w:w="4677" w:type="dxa"/>
            <w:shd w:val="clear" w:color="auto" w:fill="auto"/>
            <w:tcMar>
              <w:top w:w="80" w:type="dxa"/>
              <w:left w:w="80" w:type="dxa"/>
              <w:bottom w:w="80" w:type="dxa"/>
              <w:right w:w="80" w:type="dxa"/>
            </w:tcMar>
          </w:tcPr>
          <w:p w14:paraId="4B183A2C" w14:textId="77777777" w:rsidR="006F17A9" w:rsidRPr="006531A8" w:rsidRDefault="006F17A9" w:rsidP="00EC1846">
            <w:pPr>
              <w:rPr>
                <w:rFonts w:ascii="Arial" w:hAnsi="Arial" w:cs="Arial"/>
                <w:sz w:val="24"/>
                <w:szCs w:val="24"/>
              </w:rPr>
            </w:pPr>
            <w:r w:rsidRPr="006531A8">
              <w:rPr>
                <w:rFonts w:ascii="Arial" w:hAnsi="Arial" w:cs="Arial"/>
                <w:sz w:val="24"/>
                <w:szCs w:val="24"/>
              </w:rPr>
              <w:t xml:space="preserve">Supervisor, County of San Diego  </w:t>
            </w:r>
          </w:p>
        </w:tc>
      </w:tr>
      <w:tr w:rsidR="006F17A9" w:rsidRPr="006531A8" w14:paraId="02729E23" w14:textId="77777777" w:rsidTr="00D61765">
        <w:trPr>
          <w:trHeight w:val="252"/>
        </w:trPr>
        <w:tc>
          <w:tcPr>
            <w:tcW w:w="4677" w:type="dxa"/>
            <w:shd w:val="clear" w:color="auto" w:fill="auto"/>
            <w:tcMar>
              <w:top w:w="80" w:type="dxa"/>
              <w:left w:w="80" w:type="dxa"/>
              <w:bottom w:w="80" w:type="dxa"/>
              <w:right w:w="80" w:type="dxa"/>
            </w:tcMar>
          </w:tcPr>
          <w:p w14:paraId="717E36F8" w14:textId="77777777" w:rsidR="006F17A9" w:rsidRPr="006531A8" w:rsidRDefault="006F17A9" w:rsidP="00EC1846">
            <w:pPr>
              <w:rPr>
                <w:rFonts w:ascii="Arial" w:hAnsi="Arial" w:cs="Arial"/>
                <w:sz w:val="24"/>
                <w:szCs w:val="24"/>
              </w:rPr>
            </w:pPr>
          </w:p>
        </w:tc>
        <w:tc>
          <w:tcPr>
            <w:tcW w:w="4677" w:type="dxa"/>
            <w:shd w:val="clear" w:color="auto" w:fill="auto"/>
            <w:tcMar>
              <w:top w:w="80" w:type="dxa"/>
              <w:left w:w="80" w:type="dxa"/>
              <w:bottom w:w="80" w:type="dxa"/>
              <w:right w:w="80" w:type="dxa"/>
            </w:tcMar>
          </w:tcPr>
          <w:p w14:paraId="120FC7DA" w14:textId="77777777" w:rsidR="006F17A9" w:rsidRPr="006531A8" w:rsidRDefault="006F17A9" w:rsidP="00EC1846">
            <w:pPr>
              <w:rPr>
                <w:rFonts w:ascii="Arial" w:hAnsi="Arial" w:cs="Arial"/>
                <w:sz w:val="24"/>
                <w:szCs w:val="24"/>
              </w:rPr>
            </w:pPr>
          </w:p>
        </w:tc>
      </w:tr>
      <w:tr w:rsidR="006F17A9" w:rsidRPr="006531A8" w14:paraId="63D4C3BB" w14:textId="77777777" w:rsidTr="00D61765">
        <w:trPr>
          <w:trHeight w:val="603"/>
        </w:trPr>
        <w:tc>
          <w:tcPr>
            <w:tcW w:w="4677" w:type="dxa"/>
            <w:shd w:val="clear" w:color="auto" w:fill="auto"/>
            <w:tcMar>
              <w:top w:w="80" w:type="dxa"/>
              <w:left w:w="80" w:type="dxa"/>
              <w:bottom w:w="80" w:type="dxa"/>
              <w:right w:w="80" w:type="dxa"/>
            </w:tcMar>
          </w:tcPr>
          <w:p w14:paraId="02295114" w14:textId="42459C44" w:rsidR="006F17A9" w:rsidRPr="006531A8" w:rsidRDefault="00D61765" w:rsidP="00EC1846">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rPr>
                <w:rFonts w:cs="Arial"/>
              </w:rPr>
            </w:pPr>
            <w:r>
              <w:rPr>
                <w:noProof/>
              </w:rPr>
              <w:drawing>
                <wp:inline distT="0" distB="0" distL="0" distR="0" wp14:anchorId="0388AFA7" wp14:editId="5EB031A0">
                  <wp:extent cx="1743075" cy="59894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526" cy="604938"/>
                          </a:xfrm>
                          <a:prstGeom prst="rect">
                            <a:avLst/>
                          </a:prstGeom>
                          <a:noFill/>
                          <a:ln>
                            <a:noFill/>
                          </a:ln>
                        </pic:spPr>
                      </pic:pic>
                    </a:graphicData>
                  </a:graphic>
                </wp:inline>
              </w:drawing>
            </w:r>
          </w:p>
        </w:tc>
        <w:tc>
          <w:tcPr>
            <w:tcW w:w="4677" w:type="dxa"/>
            <w:shd w:val="clear" w:color="auto" w:fill="auto"/>
            <w:tcMar>
              <w:top w:w="80" w:type="dxa"/>
              <w:left w:w="80" w:type="dxa"/>
              <w:bottom w:w="80" w:type="dxa"/>
              <w:right w:w="80" w:type="dxa"/>
            </w:tcMar>
          </w:tcPr>
          <w:p w14:paraId="06180DC4" w14:textId="77777777" w:rsidR="006F17A9" w:rsidRPr="006531A8" w:rsidRDefault="006F17A9" w:rsidP="00EC1846">
            <w:pPr>
              <w:pStyle w:val="Body"/>
              <w:pBdr>
                <w:top w:val="none" w:sz="0" w:space="0" w:color="auto"/>
                <w:left w:val="none" w:sz="0" w:space="0" w:color="auto"/>
                <w:bottom w:val="none" w:sz="0" w:space="0" w:color="auto"/>
                <w:right w:val="none" w:sz="0" w:space="0" w:color="auto"/>
                <w:between w:val="none" w:sz="0" w:space="0" w:color="auto"/>
                <w:bar w:val="none" w:sz="0" w:color="auto"/>
              </w:pBdr>
              <w:ind w:left="0" w:firstLine="0"/>
              <w:jc w:val="left"/>
              <w:rPr>
                <w:rFonts w:cs="Arial"/>
              </w:rPr>
            </w:pPr>
            <w:r w:rsidRPr="006531A8">
              <w:rPr>
                <w:rFonts w:cs="Arial"/>
                <w:noProof/>
              </w:rPr>
              <w:drawing>
                <wp:anchor distT="0" distB="0" distL="114300" distR="114300" simplePos="0" relativeHeight="251657728" behindDoc="1" locked="0" layoutInCell="1" allowOverlap="1" wp14:anchorId="740DC11D" wp14:editId="4EB66674">
                  <wp:simplePos x="0" y="0"/>
                  <wp:positionH relativeFrom="column">
                    <wp:posOffset>-47625</wp:posOffset>
                  </wp:positionH>
                  <wp:positionV relativeFrom="paragraph">
                    <wp:posOffset>0</wp:posOffset>
                  </wp:positionV>
                  <wp:extent cx="1981200" cy="427479"/>
                  <wp:effectExtent l="0" t="0" r="0" b="0"/>
                  <wp:wrapTight wrapText="bothSides">
                    <wp:wrapPolygon edited="0">
                      <wp:start x="0" y="0"/>
                      <wp:lineTo x="0" y="20220"/>
                      <wp:lineTo x="21392" y="20220"/>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42747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17A9" w:rsidRPr="006531A8" w14:paraId="4B0FE9B3" w14:textId="77777777" w:rsidTr="00D61765">
        <w:trPr>
          <w:trHeight w:val="292"/>
        </w:trPr>
        <w:tc>
          <w:tcPr>
            <w:tcW w:w="4677" w:type="dxa"/>
            <w:shd w:val="clear" w:color="auto" w:fill="auto"/>
            <w:tcMar>
              <w:top w:w="80" w:type="dxa"/>
              <w:left w:w="80" w:type="dxa"/>
              <w:bottom w:w="80" w:type="dxa"/>
              <w:right w:w="80" w:type="dxa"/>
            </w:tcMar>
          </w:tcPr>
          <w:p w14:paraId="7465C399" w14:textId="77777777" w:rsidR="006F17A9" w:rsidRPr="006531A8" w:rsidRDefault="006F17A9" w:rsidP="00EC1846">
            <w:pPr>
              <w:rPr>
                <w:rFonts w:ascii="Arial" w:hAnsi="Arial" w:cs="Arial"/>
                <w:sz w:val="24"/>
                <w:szCs w:val="24"/>
              </w:rPr>
            </w:pPr>
            <w:r w:rsidRPr="006531A8">
              <w:rPr>
                <w:rFonts w:ascii="Arial" w:hAnsi="Arial" w:cs="Arial"/>
                <w:b/>
                <w:bCs/>
                <w:sz w:val="24"/>
                <w:szCs w:val="24"/>
              </w:rPr>
              <w:t>ANYA LAWLER</w:t>
            </w:r>
          </w:p>
        </w:tc>
        <w:tc>
          <w:tcPr>
            <w:tcW w:w="4677" w:type="dxa"/>
            <w:shd w:val="clear" w:color="auto" w:fill="auto"/>
            <w:tcMar>
              <w:top w:w="80" w:type="dxa"/>
              <w:left w:w="80" w:type="dxa"/>
              <w:bottom w:w="80" w:type="dxa"/>
              <w:right w:w="80" w:type="dxa"/>
            </w:tcMar>
          </w:tcPr>
          <w:p w14:paraId="7F0DAF6D" w14:textId="77777777" w:rsidR="006F17A9" w:rsidRPr="006531A8" w:rsidRDefault="006F17A9" w:rsidP="00EC1846">
            <w:pPr>
              <w:rPr>
                <w:rFonts w:ascii="Arial" w:hAnsi="Arial" w:cs="Arial"/>
                <w:sz w:val="24"/>
                <w:szCs w:val="24"/>
              </w:rPr>
            </w:pPr>
            <w:r w:rsidRPr="006531A8">
              <w:rPr>
                <w:rFonts w:ascii="Arial" w:hAnsi="Arial" w:cs="Arial"/>
                <w:b/>
                <w:bCs/>
                <w:sz w:val="24"/>
                <w:szCs w:val="24"/>
              </w:rPr>
              <w:t>WILL LIGHTBOURNE</w:t>
            </w:r>
          </w:p>
        </w:tc>
      </w:tr>
      <w:tr w:rsidR="006F17A9" w:rsidRPr="006531A8" w14:paraId="4E2E1BED" w14:textId="77777777" w:rsidTr="00D61765">
        <w:trPr>
          <w:trHeight w:val="153"/>
        </w:trPr>
        <w:tc>
          <w:tcPr>
            <w:tcW w:w="4677" w:type="dxa"/>
            <w:shd w:val="clear" w:color="auto" w:fill="auto"/>
            <w:tcMar>
              <w:top w:w="80" w:type="dxa"/>
              <w:left w:w="80" w:type="dxa"/>
              <w:bottom w:w="80" w:type="dxa"/>
              <w:right w:w="80" w:type="dxa"/>
            </w:tcMar>
          </w:tcPr>
          <w:p w14:paraId="3C8550AB" w14:textId="77777777" w:rsidR="006F17A9" w:rsidRPr="006531A8" w:rsidRDefault="006F17A9" w:rsidP="00EC1846">
            <w:pPr>
              <w:rPr>
                <w:rFonts w:ascii="Arial" w:hAnsi="Arial" w:cs="Arial"/>
                <w:sz w:val="24"/>
                <w:szCs w:val="24"/>
              </w:rPr>
            </w:pPr>
            <w:r w:rsidRPr="006531A8">
              <w:rPr>
                <w:rFonts w:ascii="Arial" w:hAnsi="Arial" w:cs="Arial"/>
                <w:sz w:val="24"/>
                <w:szCs w:val="24"/>
              </w:rPr>
              <w:t>Policy Advocate, Western Center on Law and Poverty</w:t>
            </w:r>
          </w:p>
        </w:tc>
        <w:tc>
          <w:tcPr>
            <w:tcW w:w="4677" w:type="dxa"/>
            <w:shd w:val="clear" w:color="auto" w:fill="auto"/>
            <w:tcMar>
              <w:top w:w="80" w:type="dxa"/>
              <w:left w:w="80" w:type="dxa"/>
              <w:bottom w:w="80" w:type="dxa"/>
              <w:right w:w="80" w:type="dxa"/>
            </w:tcMar>
          </w:tcPr>
          <w:p w14:paraId="61748563" w14:textId="77777777" w:rsidR="006F17A9" w:rsidRPr="006531A8" w:rsidRDefault="006F17A9" w:rsidP="00EC1846">
            <w:pPr>
              <w:rPr>
                <w:rFonts w:ascii="Arial" w:hAnsi="Arial" w:cs="Arial"/>
                <w:sz w:val="24"/>
                <w:szCs w:val="24"/>
              </w:rPr>
            </w:pPr>
            <w:r w:rsidRPr="006531A8">
              <w:rPr>
                <w:rFonts w:ascii="Arial" w:hAnsi="Arial" w:cs="Arial"/>
                <w:sz w:val="24"/>
                <w:szCs w:val="24"/>
              </w:rPr>
              <w:t>Former Director, Department of Social Services</w:t>
            </w:r>
          </w:p>
        </w:tc>
      </w:tr>
      <w:tr w:rsidR="006F17A9" w:rsidRPr="006531A8" w14:paraId="49679906" w14:textId="77777777" w:rsidTr="00D61765">
        <w:trPr>
          <w:trHeight w:val="162"/>
        </w:trPr>
        <w:tc>
          <w:tcPr>
            <w:tcW w:w="4677" w:type="dxa"/>
            <w:shd w:val="clear" w:color="auto" w:fill="auto"/>
            <w:tcMar>
              <w:top w:w="80" w:type="dxa"/>
              <w:left w:w="80" w:type="dxa"/>
              <w:bottom w:w="80" w:type="dxa"/>
              <w:right w:w="80" w:type="dxa"/>
            </w:tcMar>
          </w:tcPr>
          <w:p w14:paraId="59F241B1" w14:textId="77777777" w:rsidR="006F17A9" w:rsidRPr="006531A8" w:rsidRDefault="006F17A9" w:rsidP="00EC1846">
            <w:pPr>
              <w:rPr>
                <w:rFonts w:ascii="Arial" w:hAnsi="Arial" w:cs="Arial"/>
                <w:b/>
                <w:bCs/>
                <w:sz w:val="24"/>
                <w:szCs w:val="24"/>
              </w:rPr>
            </w:pPr>
          </w:p>
        </w:tc>
        <w:tc>
          <w:tcPr>
            <w:tcW w:w="4677" w:type="dxa"/>
            <w:shd w:val="clear" w:color="auto" w:fill="auto"/>
            <w:tcMar>
              <w:top w:w="80" w:type="dxa"/>
              <w:left w:w="80" w:type="dxa"/>
              <w:bottom w:w="80" w:type="dxa"/>
              <w:right w:w="80" w:type="dxa"/>
            </w:tcMar>
          </w:tcPr>
          <w:p w14:paraId="3DCF0109" w14:textId="77777777" w:rsidR="006F17A9" w:rsidRPr="006531A8" w:rsidRDefault="006F17A9" w:rsidP="00EC1846">
            <w:pPr>
              <w:rPr>
                <w:rFonts w:ascii="Arial" w:hAnsi="Arial" w:cs="Arial"/>
                <w:b/>
                <w:bCs/>
                <w:sz w:val="24"/>
                <w:szCs w:val="24"/>
              </w:rPr>
            </w:pPr>
          </w:p>
        </w:tc>
      </w:tr>
      <w:tr w:rsidR="006F17A9" w:rsidRPr="006531A8" w14:paraId="4D563447" w14:textId="77777777" w:rsidTr="00D61765">
        <w:trPr>
          <w:trHeight w:val="292"/>
        </w:trPr>
        <w:tc>
          <w:tcPr>
            <w:tcW w:w="4677" w:type="dxa"/>
            <w:shd w:val="clear" w:color="auto" w:fill="auto"/>
            <w:tcMar>
              <w:top w:w="80" w:type="dxa"/>
              <w:left w:w="80" w:type="dxa"/>
              <w:bottom w:w="80" w:type="dxa"/>
              <w:right w:w="80" w:type="dxa"/>
            </w:tcMar>
          </w:tcPr>
          <w:p w14:paraId="26666475" w14:textId="77777777" w:rsidR="006F17A9" w:rsidRPr="006531A8" w:rsidRDefault="006F17A9" w:rsidP="00EC1846">
            <w:pPr>
              <w:rPr>
                <w:rFonts w:ascii="Arial" w:hAnsi="Arial" w:cs="Arial"/>
                <w:sz w:val="24"/>
                <w:szCs w:val="24"/>
              </w:rPr>
            </w:pPr>
            <w:r w:rsidRPr="006531A8">
              <w:rPr>
                <w:rFonts w:ascii="Arial" w:hAnsi="Arial" w:cs="Arial"/>
                <w:noProof/>
                <w:sz w:val="24"/>
                <w:szCs w:val="24"/>
              </w:rPr>
              <w:drawing>
                <wp:inline distT="0" distB="0" distL="0" distR="0" wp14:anchorId="46853FCA" wp14:editId="00ED0573">
                  <wp:extent cx="2433886" cy="485776"/>
                  <wp:effectExtent l="0" t="0" r="5080" b="0"/>
                  <wp:docPr id="5" name="Picture 5" descr="PFM_Signature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M_Signature_E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4166" cy="491820"/>
                          </a:xfrm>
                          <a:prstGeom prst="rect">
                            <a:avLst/>
                          </a:prstGeom>
                          <a:noFill/>
                          <a:ln>
                            <a:noFill/>
                          </a:ln>
                        </pic:spPr>
                      </pic:pic>
                    </a:graphicData>
                  </a:graphic>
                </wp:inline>
              </w:drawing>
            </w:r>
          </w:p>
        </w:tc>
        <w:tc>
          <w:tcPr>
            <w:tcW w:w="4677" w:type="dxa"/>
            <w:shd w:val="clear" w:color="auto" w:fill="auto"/>
            <w:tcMar>
              <w:top w:w="80" w:type="dxa"/>
              <w:left w:w="80" w:type="dxa"/>
              <w:bottom w:w="80" w:type="dxa"/>
              <w:right w:w="80" w:type="dxa"/>
            </w:tcMar>
          </w:tcPr>
          <w:p w14:paraId="412897D9" w14:textId="77777777" w:rsidR="006F17A9" w:rsidRPr="006531A8" w:rsidRDefault="006F17A9" w:rsidP="00EC1846">
            <w:pPr>
              <w:rPr>
                <w:rFonts w:ascii="Arial" w:hAnsi="Arial" w:cs="Arial"/>
                <w:i/>
                <w:iCs/>
                <w:sz w:val="24"/>
                <w:szCs w:val="24"/>
              </w:rPr>
            </w:pPr>
            <w:r w:rsidRPr="006531A8">
              <w:rPr>
                <w:rFonts w:ascii="Arial" w:hAnsi="Arial" w:cs="Arial"/>
                <w:noProof/>
                <w:sz w:val="24"/>
                <w:szCs w:val="24"/>
              </w:rPr>
              <w:drawing>
                <wp:inline distT="0" distB="0" distL="0" distR="0" wp14:anchorId="1FF6B0D2" wp14:editId="55EA29ED">
                  <wp:extent cx="1933574" cy="51390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4445" cy="519453"/>
                          </a:xfrm>
                          <a:prstGeom prst="rect">
                            <a:avLst/>
                          </a:prstGeom>
                          <a:noFill/>
                          <a:ln>
                            <a:noFill/>
                          </a:ln>
                        </pic:spPr>
                      </pic:pic>
                    </a:graphicData>
                  </a:graphic>
                </wp:inline>
              </w:drawing>
            </w:r>
          </w:p>
        </w:tc>
      </w:tr>
      <w:tr w:rsidR="006F17A9" w:rsidRPr="006531A8" w14:paraId="61382D6F" w14:textId="77777777" w:rsidTr="00D61765">
        <w:trPr>
          <w:trHeight w:val="292"/>
        </w:trPr>
        <w:tc>
          <w:tcPr>
            <w:tcW w:w="4677" w:type="dxa"/>
            <w:shd w:val="clear" w:color="auto" w:fill="auto"/>
            <w:tcMar>
              <w:top w:w="80" w:type="dxa"/>
              <w:left w:w="80" w:type="dxa"/>
              <w:bottom w:w="80" w:type="dxa"/>
              <w:right w:w="80" w:type="dxa"/>
            </w:tcMar>
          </w:tcPr>
          <w:p w14:paraId="7F205677" w14:textId="77777777" w:rsidR="006F17A9" w:rsidRPr="006531A8" w:rsidRDefault="006F17A9" w:rsidP="00EC1846">
            <w:pPr>
              <w:rPr>
                <w:rFonts w:ascii="Arial" w:hAnsi="Arial" w:cs="Arial"/>
                <w:sz w:val="24"/>
                <w:szCs w:val="24"/>
              </w:rPr>
            </w:pPr>
            <w:r w:rsidRPr="006531A8">
              <w:rPr>
                <w:rFonts w:ascii="Arial" w:hAnsi="Arial" w:cs="Arial"/>
                <w:b/>
                <w:bCs/>
                <w:sz w:val="24"/>
                <w:szCs w:val="24"/>
              </w:rPr>
              <w:t>PHILIP MANGANO</w:t>
            </w:r>
          </w:p>
        </w:tc>
        <w:tc>
          <w:tcPr>
            <w:tcW w:w="4677" w:type="dxa"/>
            <w:shd w:val="clear" w:color="auto" w:fill="auto"/>
            <w:tcMar>
              <w:top w:w="80" w:type="dxa"/>
              <w:left w:w="80" w:type="dxa"/>
              <w:bottom w:w="80" w:type="dxa"/>
              <w:right w:w="80" w:type="dxa"/>
            </w:tcMar>
          </w:tcPr>
          <w:p w14:paraId="16A208CC" w14:textId="77777777" w:rsidR="006F17A9" w:rsidRPr="006531A8" w:rsidRDefault="006F17A9" w:rsidP="00EC1846">
            <w:pPr>
              <w:rPr>
                <w:rFonts w:ascii="Arial" w:hAnsi="Arial" w:cs="Arial"/>
                <w:sz w:val="24"/>
                <w:szCs w:val="24"/>
              </w:rPr>
            </w:pPr>
            <w:r w:rsidRPr="006531A8">
              <w:rPr>
                <w:rFonts w:ascii="Arial" w:hAnsi="Arial" w:cs="Arial"/>
                <w:b/>
                <w:bCs/>
                <w:sz w:val="24"/>
                <w:szCs w:val="24"/>
              </w:rPr>
              <w:t>FRANK MECCA</w:t>
            </w:r>
          </w:p>
        </w:tc>
      </w:tr>
      <w:tr w:rsidR="006F17A9" w:rsidRPr="006531A8" w14:paraId="33ECAF20" w14:textId="77777777" w:rsidTr="00D61765">
        <w:trPr>
          <w:trHeight w:val="292"/>
        </w:trPr>
        <w:tc>
          <w:tcPr>
            <w:tcW w:w="4677" w:type="dxa"/>
            <w:shd w:val="clear" w:color="auto" w:fill="auto"/>
            <w:tcMar>
              <w:top w:w="80" w:type="dxa"/>
              <w:left w:w="80" w:type="dxa"/>
              <w:bottom w:w="80" w:type="dxa"/>
              <w:right w:w="80" w:type="dxa"/>
            </w:tcMar>
          </w:tcPr>
          <w:p w14:paraId="4333E56C" w14:textId="77777777" w:rsidR="006F17A9" w:rsidRPr="006531A8" w:rsidRDefault="006F17A9" w:rsidP="00EC1846">
            <w:pPr>
              <w:rPr>
                <w:rFonts w:ascii="Arial" w:hAnsi="Arial" w:cs="Arial"/>
                <w:b/>
                <w:bCs/>
                <w:sz w:val="24"/>
                <w:szCs w:val="24"/>
              </w:rPr>
            </w:pPr>
            <w:r w:rsidRPr="006531A8">
              <w:rPr>
                <w:rFonts w:ascii="Arial" w:hAnsi="Arial" w:cs="Arial"/>
                <w:sz w:val="24"/>
                <w:szCs w:val="24"/>
              </w:rPr>
              <w:t>Former Executive Director, Interagency Council on Homelessness</w:t>
            </w:r>
          </w:p>
        </w:tc>
        <w:tc>
          <w:tcPr>
            <w:tcW w:w="4677" w:type="dxa"/>
            <w:shd w:val="clear" w:color="auto" w:fill="auto"/>
            <w:tcMar>
              <w:top w:w="80" w:type="dxa"/>
              <w:left w:w="80" w:type="dxa"/>
              <w:bottom w:w="80" w:type="dxa"/>
              <w:right w:w="80" w:type="dxa"/>
            </w:tcMar>
          </w:tcPr>
          <w:p w14:paraId="38F541DE" w14:textId="77777777" w:rsidR="006F17A9" w:rsidRPr="006531A8" w:rsidRDefault="006F17A9" w:rsidP="00EC1846">
            <w:pPr>
              <w:rPr>
                <w:rFonts w:ascii="Arial" w:hAnsi="Arial" w:cs="Arial"/>
                <w:b/>
                <w:bCs/>
                <w:sz w:val="24"/>
                <w:szCs w:val="24"/>
              </w:rPr>
            </w:pPr>
            <w:r w:rsidRPr="006531A8">
              <w:rPr>
                <w:rFonts w:ascii="Arial" w:hAnsi="Arial" w:cs="Arial"/>
                <w:sz w:val="24"/>
                <w:szCs w:val="24"/>
              </w:rPr>
              <w:t>Executive Director, County Welfare Directors Association of California</w:t>
            </w:r>
          </w:p>
        </w:tc>
      </w:tr>
      <w:tr w:rsidR="006F17A9" w:rsidRPr="006531A8" w14:paraId="101DDB97" w14:textId="77777777" w:rsidTr="00D61765">
        <w:trPr>
          <w:trHeight w:val="162"/>
        </w:trPr>
        <w:tc>
          <w:tcPr>
            <w:tcW w:w="4677" w:type="dxa"/>
            <w:shd w:val="clear" w:color="auto" w:fill="auto"/>
            <w:tcMar>
              <w:top w:w="80" w:type="dxa"/>
              <w:left w:w="80" w:type="dxa"/>
              <w:bottom w:w="80" w:type="dxa"/>
              <w:right w:w="80" w:type="dxa"/>
            </w:tcMar>
          </w:tcPr>
          <w:p w14:paraId="1A07316C" w14:textId="77777777" w:rsidR="006F17A9" w:rsidRPr="006531A8" w:rsidRDefault="006F17A9" w:rsidP="00EC1846">
            <w:pPr>
              <w:rPr>
                <w:rFonts w:ascii="Arial" w:hAnsi="Arial" w:cs="Arial"/>
                <w:sz w:val="24"/>
                <w:szCs w:val="24"/>
              </w:rPr>
            </w:pPr>
          </w:p>
        </w:tc>
        <w:tc>
          <w:tcPr>
            <w:tcW w:w="4677" w:type="dxa"/>
            <w:shd w:val="clear" w:color="auto" w:fill="auto"/>
            <w:tcMar>
              <w:top w:w="80" w:type="dxa"/>
              <w:left w:w="80" w:type="dxa"/>
              <w:bottom w:w="80" w:type="dxa"/>
              <w:right w:w="80" w:type="dxa"/>
            </w:tcMar>
          </w:tcPr>
          <w:p w14:paraId="20FFCB10" w14:textId="77777777" w:rsidR="006F17A9" w:rsidRPr="006531A8" w:rsidRDefault="006F17A9" w:rsidP="00EC1846">
            <w:pPr>
              <w:rPr>
                <w:rFonts w:ascii="Arial" w:hAnsi="Arial" w:cs="Arial"/>
                <w:sz w:val="24"/>
                <w:szCs w:val="24"/>
              </w:rPr>
            </w:pPr>
          </w:p>
        </w:tc>
      </w:tr>
      <w:tr w:rsidR="00D04DF3" w:rsidRPr="006531A8" w14:paraId="0F3A7B25" w14:textId="77777777" w:rsidTr="00D61765">
        <w:trPr>
          <w:trHeight w:val="162"/>
        </w:trPr>
        <w:tc>
          <w:tcPr>
            <w:tcW w:w="4677" w:type="dxa"/>
            <w:shd w:val="clear" w:color="auto" w:fill="auto"/>
            <w:tcMar>
              <w:top w:w="80" w:type="dxa"/>
              <w:left w:w="80" w:type="dxa"/>
              <w:bottom w:w="80" w:type="dxa"/>
              <w:right w:w="80" w:type="dxa"/>
            </w:tcMar>
          </w:tcPr>
          <w:p w14:paraId="1790D876" w14:textId="77777777" w:rsidR="00D04DF3" w:rsidRPr="006531A8" w:rsidRDefault="00D04DF3" w:rsidP="00EC1846">
            <w:pPr>
              <w:rPr>
                <w:rFonts w:ascii="Arial" w:hAnsi="Arial" w:cs="Arial"/>
                <w:sz w:val="24"/>
                <w:szCs w:val="24"/>
              </w:rPr>
            </w:pPr>
          </w:p>
        </w:tc>
        <w:tc>
          <w:tcPr>
            <w:tcW w:w="4677" w:type="dxa"/>
            <w:shd w:val="clear" w:color="auto" w:fill="auto"/>
            <w:tcMar>
              <w:top w:w="80" w:type="dxa"/>
              <w:left w:w="80" w:type="dxa"/>
              <w:bottom w:w="80" w:type="dxa"/>
              <w:right w:w="80" w:type="dxa"/>
            </w:tcMar>
          </w:tcPr>
          <w:p w14:paraId="2ACCD600" w14:textId="77777777" w:rsidR="00D04DF3" w:rsidRPr="006531A8" w:rsidRDefault="00D04DF3" w:rsidP="00EC1846">
            <w:pPr>
              <w:rPr>
                <w:rFonts w:ascii="Arial" w:hAnsi="Arial" w:cs="Arial"/>
                <w:sz w:val="24"/>
                <w:szCs w:val="24"/>
              </w:rPr>
            </w:pPr>
          </w:p>
        </w:tc>
      </w:tr>
      <w:tr w:rsidR="00D04DF3" w:rsidRPr="006531A8" w14:paraId="784051E1" w14:textId="77777777" w:rsidTr="00D61765">
        <w:trPr>
          <w:trHeight w:val="162"/>
        </w:trPr>
        <w:tc>
          <w:tcPr>
            <w:tcW w:w="4677" w:type="dxa"/>
            <w:shd w:val="clear" w:color="auto" w:fill="auto"/>
            <w:tcMar>
              <w:top w:w="80" w:type="dxa"/>
              <w:left w:w="80" w:type="dxa"/>
              <w:bottom w:w="80" w:type="dxa"/>
              <w:right w:w="80" w:type="dxa"/>
            </w:tcMar>
          </w:tcPr>
          <w:p w14:paraId="33FB2D24" w14:textId="77777777" w:rsidR="00D04DF3" w:rsidRPr="006531A8" w:rsidRDefault="00D04DF3" w:rsidP="00EC1846">
            <w:pPr>
              <w:rPr>
                <w:rFonts w:ascii="Arial" w:hAnsi="Arial" w:cs="Arial"/>
                <w:sz w:val="24"/>
                <w:szCs w:val="24"/>
              </w:rPr>
            </w:pPr>
          </w:p>
        </w:tc>
        <w:tc>
          <w:tcPr>
            <w:tcW w:w="4677" w:type="dxa"/>
            <w:shd w:val="clear" w:color="auto" w:fill="auto"/>
            <w:tcMar>
              <w:top w:w="80" w:type="dxa"/>
              <w:left w:w="80" w:type="dxa"/>
              <w:bottom w:w="80" w:type="dxa"/>
              <w:right w:w="80" w:type="dxa"/>
            </w:tcMar>
          </w:tcPr>
          <w:p w14:paraId="45FF8FE6" w14:textId="77777777" w:rsidR="00D04DF3" w:rsidRPr="006531A8" w:rsidRDefault="00D04DF3" w:rsidP="00EC1846">
            <w:pPr>
              <w:rPr>
                <w:rFonts w:ascii="Arial" w:hAnsi="Arial" w:cs="Arial"/>
                <w:sz w:val="24"/>
                <w:szCs w:val="24"/>
              </w:rPr>
            </w:pPr>
          </w:p>
        </w:tc>
      </w:tr>
      <w:tr w:rsidR="006F17A9" w:rsidRPr="006531A8" w14:paraId="45D80DF8" w14:textId="77777777" w:rsidTr="00D61765">
        <w:trPr>
          <w:trHeight w:val="1062"/>
        </w:trPr>
        <w:tc>
          <w:tcPr>
            <w:tcW w:w="4677" w:type="dxa"/>
            <w:shd w:val="clear" w:color="auto" w:fill="auto"/>
            <w:tcMar>
              <w:top w:w="80" w:type="dxa"/>
              <w:left w:w="80" w:type="dxa"/>
              <w:bottom w:w="80" w:type="dxa"/>
              <w:right w:w="80" w:type="dxa"/>
            </w:tcMar>
          </w:tcPr>
          <w:p w14:paraId="647DDADD" w14:textId="6A15AF20" w:rsidR="006F17A9" w:rsidRPr="006531A8" w:rsidRDefault="006F17A9" w:rsidP="00EC1846">
            <w:pPr>
              <w:rPr>
                <w:rFonts w:ascii="Arial" w:hAnsi="Arial" w:cs="Arial"/>
                <w:sz w:val="24"/>
                <w:szCs w:val="24"/>
              </w:rPr>
            </w:pPr>
            <w:r>
              <w:rPr>
                <w:noProof/>
              </w:rPr>
              <w:drawing>
                <wp:inline distT="0" distB="0" distL="0" distR="0" wp14:anchorId="5CEC3C82" wp14:editId="1382EAA6">
                  <wp:extent cx="1048006" cy="6530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0535" cy="685812"/>
                          </a:xfrm>
                          <a:prstGeom prst="rect">
                            <a:avLst/>
                          </a:prstGeom>
                          <a:noFill/>
                          <a:ln>
                            <a:noFill/>
                          </a:ln>
                        </pic:spPr>
                      </pic:pic>
                    </a:graphicData>
                  </a:graphic>
                </wp:inline>
              </w:drawing>
            </w:r>
          </w:p>
        </w:tc>
        <w:tc>
          <w:tcPr>
            <w:tcW w:w="4677" w:type="dxa"/>
            <w:shd w:val="clear" w:color="auto" w:fill="auto"/>
            <w:tcMar>
              <w:top w:w="80" w:type="dxa"/>
              <w:left w:w="80" w:type="dxa"/>
              <w:bottom w:w="80" w:type="dxa"/>
              <w:right w:w="80" w:type="dxa"/>
            </w:tcMar>
          </w:tcPr>
          <w:p w14:paraId="4B42342A" w14:textId="77777777" w:rsidR="006F17A9" w:rsidRPr="006531A8" w:rsidRDefault="006F17A9" w:rsidP="00EC1846">
            <w:pPr>
              <w:rPr>
                <w:rFonts w:ascii="Arial" w:hAnsi="Arial" w:cs="Arial"/>
                <w:sz w:val="24"/>
                <w:szCs w:val="24"/>
              </w:rPr>
            </w:pPr>
            <w:r w:rsidRPr="006531A8">
              <w:rPr>
                <w:rFonts w:ascii="Arial" w:hAnsi="Arial" w:cs="Arial"/>
                <w:b/>
                <w:bCs/>
                <w:noProof/>
                <w:sz w:val="24"/>
                <w:szCs w:val="24"/>
              </w:rPr>
              <w:drawing>
                <wp:inline distT="0" distB="0" distL="0" distR="0" wp14:anchorId="135752F0" wp14:editId="2AD6A071">
                  <wp:extent cx="1688358" cy="6731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0005" cy="685717"/>
                          </a:xfrm>
                          <a:prstGeom prst="rect">
                            <a:avLst/>
                          </a:prstGeom>
                          <a:noFill/>
                          <a:ln>
                            <a:noFill/>
                          </a:ln>
                        </pic:spPr>
                      </pic:pic>
                    </a:graphicData>
                  </a:graphic>
                </wp:inline>
              </w:drawing>
            </w:r>
          </w:p>
        </w:tc>
      </w:tr>
      <w:tr w:rsidR="006F17A9" w:rsidRPr="006531A8" w14:paraId="7C7C4E44" w14:textId="77777777" w:rsidTr="00D61765">
        <w:trPr>
          <w:trHeight w:val="292"/>
        </w:trPr>
        <w:tc>
          <w:tcPr>
            <w:tcW w:w="4677" w:type="dxa"/>
            <w:shd w:val="clear" w:color="auto" w:fill="auto"/>
            <w:tcMar>
              <w:top w:w="80" w:type="dxa"/>
              <w:left w:w="80" w:type="dxa"/>
              <w:bottom w:w="80" w:type="dxa"/>
              <w:right w:w="80" w:type="dxa"/>
            </w:tcMar>
          </w:tcPr>
          <w:p w14:paraId="0C9CAD5A" w14:textId="77777777" w:rsidR="006F17A9" w:rsidRPr="006531A8" w:rsidRDefault="006F17A9" w:rsidP="00EC1846">
            <w:pPr>
              <w:rPr>
                <w:rFonts w:ascii="Arial" w:hAnsi="Arial" w:cs="Arial"/>
                <w:sz w:val="24"/>
                <w:szCs w:val="24"/>
              </w:rPr>
            </w:pPr>
            <w:r w:rsidRPr="006531A8">
              <w:rPr>
                <w:rFonts w:ascii="Arial" w:hAnsi="Arial" w:cs="Arial"/>
                <w:b/>
                <w:bCs/>
                <w:sz w:val="24"/>
                <w:szCs w:val="24"/>
              </w:rPr>
              <w:t>SOFIA PEREIRA</w:t>
            </w:r>
          </w:p>
        </w:tc>
        <w:tc>
          <w:tcPr>
            <w:tcW w:w="4677" w:type="dxa"/>
            <w:shd w:val="clear" w:color="auto" w:fill="auto"/>
            <w:tcMar>
              <w:top w:w="80" w:type="dxa"/>
              <w:left w:w="80" w:type="dxa"/>
              <w:bottom w:w="80" w:type="dxa"/>
              <w:right w:w="80" w:type="dxa"/>
            </w:tcMar>
          </w:tcPr>
          <w:p w14:paraId="71B30965" w14:textId="77777777" w:rsidR="006F17A9" w:rsidRPr="006531A8" w:rsidRDefault="006F17A9" w:rsidP="00EC1846">
            <w:pPr>
              <w:rPr>
                <w:rFonts w:ascii="Arial" w:hAnsi="Arial" w:cs="Arial"/>
                <w:sz w:val="24"/>
                <w:szCs w:val="24"/>
              </w:rPr>
            </w:pPr>
            <w:r w:rsidRPr="006531A8">
              <w:rPr>
                <w:rFonts w:ascii="Arial" w:hAnsi="Arial" w:cs="Arial"/>
                <w:b/>
                <w:bCs/>
                <w:sz w:val="24"/>
                <w:szCs w:val="24"/>
              </w:rPr>
              <w:t xml:space="preserve">V. MANUEL PEREZ </w:t>
            </w:r>
          </w:p>
        </w:tc>
      </w:tr>
      <w:tr w:rsidR="006F17A9" w:rsidRPr="006531A8" w14:paraId="59DB4F7D" w14:textId="77777777" w:rsidTr="00D61765">
        <w:trPr>
          <w:trHeight w:val="292"/>
        </w:trPr>
        <w:tc>
          <w:tcPr>
            <w:tcW w:w="4677" w:type="dxa"/>
            <w:shd w:val="clear" w:color="auto" w:fill="auto"/>
            <w:tcMar>
              <w:top w:w="80" w:type="dxa"/>
              <w:left w:w="80" w:type="dxa"/>
              <w:bottom w:w="80" w:type="dxa"/>
              <w:right w:w="80" w:type="dxa"/>
            </w:tcMar>
          </w:tcPr>
          <w:p w14:paraId="47D37A2B" w14:textId="77777777" w:rsidR="006F17A9" w:rsidRPr="006531A8" w:rsidRDefault="006F17A9" w:rsidP="00EC1846">
            <w:pPr>
              <w:rPr>
                <w:rFonts w:ascii="Arial" w:hAnsi="Arial" w:cs="Arial"/>
                <w:b/>
                <w:bCs/>
                <w:sz w:val="24"/>
                <w:szCs w:val="24"/>
              </w:rPr>
            </w:pPr>
            <w:r w:rsidRPr="006531A8">
              <w:rPr>
                <w:rFonts w:ascii="Arial" w:hAnsi="Arial" w:cs="Arial"/>
                <w:sz w:val="24"/>
                <w:szCs w:val="24"/>
              </w:rPr>
              <w:t xml:space="preserve">Councilwoman, City of Arcata </w:t>
            </w:r>
          </w:p>
        </w:tc>
        <w:tc>
          <w:tcPr>
            <w:tcW w:w="4677" w:type="dxa"/>
            <w:shd w:val="clear" w:color="auto" w:fill="auto"/>
            <w:tcMar>
              <w:top w:w="80" w:type="dxa"/>
              <w:left w:w="80" w:type="dxa"/>
              <w:bottom w:w="80" w:type="dxa"/>
              <w:right w:w="80" w:type="dxa"/>
            </w:tcMar>
          </w:tcPr>
          <w:p w14:paraId="17029A04" w14:textId="77777777" w:rsidR="006F17A9" w:rsidRPr="006531A8" w:rsidRDefault="006F17A9" w:rsidP="00EC1846">
            <w:pPr>
              <w:rPr>
                <w:rFonts w:ascii="Arial" w:hAnsi="Arial" w:cs="Arial"/>
                <w:b/>
                <w:bCs/>
                <w:sz w:val="24"/>
                <w:szCs w:val="24"/>
              </w:rPr>
            </w:pPr>
            <w:r w:rsidRPr="006531A8">
              <w:rPr>
                <w:rFonts w:ascii="Arial" w:hAnsi="Arial" w:cs="Arial"/>
                <w:sz w:val="24"/>
                <w:szCs w:val="24"/>
              </w:rPr>
              <w:t xml:space="preserve">Supervisor, County of Riverside </w:t>
            </w:r>
          </w:p>
        </w:tc>
      </w:tr>
      <w:tr w:rsidR="006F17A9" w:rsidRPr="006531A8" w14:paraId="3FAAA30F" w14:textId="77777777" w:rsidTr="00D61765">
        <w:trPr>
          <w:trHeight w:val="292"/>
        </w:trPr>
        <w:tc>
          <w:tcPr>
            <w:tcW w:w="4677" w:type="dxa"/>
            <w:shd w:val="clear" w:color="auto" w:fill="auto"/>
            <w:tcMar>
              <w:top w:w="80" w:type="dxa"/>
              <w:left w:w="80" w:type="dxa"/>
              <w:bottom w:w="80" w:type="dxa"/>
              <w:right w:w="80" w:type="dxa"/>
            </w:tcMar>
          </w:tcPr>
          <w:p w14:paraId="4D85458D" w14:textId="77777777" w:rsidR="006F17A9" w:rsidRPr="006531A8" w:rsidRDefault="006F17A9" w:rsidP="00EC1846">
            <w:pPr>
              <w:rPr>
                <w:rFonts w:ascii="Arial" w:hAnsi="Arial" w:cs="Arial"/>
                <w:sz w:val="24"/>
                <w:szCs w:val="24"/>
              </w:rPr>
            </w:pPr>
          </w:p>
        </w:tc>
        <w:tc>
          <w:tcPr>
            <w:tcW w:w="4677" w:type="dxa"/>
            <w:shd w:val="clear" w:color="auto" w:fill="auto"/>
            <w:tcMar>
              <w:top w:w="80" w:type="dxa"/>
              <w:left w:w="80" w:type="dxa"/>
              <w:bottom w:w="80" w:type="dxa"/>
              <w:right w:w="80" w:type="dxa"/>
            </w:tcMar>
          </w:tcPr>
          <w:p w14:paraId="0CCA1595" w14:textId="77777777" w:rsidR="006F17A9" w:rsidRPr="006531A8" w:rsidRDefault="006F17A9" w:rsidP="00EC1846">
            <w:pPr>
              <w:rPr>
                <w:rFonts w:ascii="Arial" w:hAnsi="Arial" w:cs="Arial"/>
                <w:sz w:val="24"/>
                <w:szCs w:val="24"/>
              </w:rPr>
            </w:pPr>
          </w:p>
        </w:tc>
      </w:tr>
      <w:tr w:rsidR="006F17A9" w:rsidRPr="006531A8" w14:paraId="2FED6FA0" w14:textId="77777777" w:rsidTr="00D61765">
        <w:trPr>
          <w:trHeight w:val="292"/>
        </w:trPr>
        <w:tc>
          <w:tcPr>
            <w:tcW w:w="4677" w:type="dxa"/>
            <w:shd w:val="clear" w:color="auto" w:fill="auto"/>
            <w:tcMar>
              <w:top w:w="80" w:type="dxa"/>
              <w:left w:w="80" w:type="dxa"/>
              <w:bottom w:w="80" w:type="dxa"/>
              <w:right w:w="80" w:type="dxa"/>
            </w:tcMar>
          </w:tcPr>
          <w:p w14:paraId="103E5D8E" w14:textId="77777777" w:rsidR="006F17A9" w:rsidRPr="006531A8" w:rsidRDefault="006F17A9" w:rsidP="00EC1846">
            <w:pPr>
              <w:rPr>
                <w:rFonts w:ascii="Arial" w:hAnsi="Arial" w:cs="Arial"/>
                <w:sz w:val="24"/>
                <w:szCs w:val="24"/>
              </w:rPr>
            </w:pPr>
            <w:r w:rsidRPr="006531A8">
              <w:rPr>
                <w:rFonts w:ascii="Arial" w:hAnsi="Arial" w:cs="Arial"/>
                <w:noProof/>
                <w:sz w:val="24"/>
                <w:szCs w:val="24"/>
              </w:rPr>
              <w:drawing>
                <wp:anchor distT="0" distB="0" distL="114300" distR="114300" simplePos="0" relativeHeight="251660800" behindDoc="1" locked="0" layoutInCell="1" allowOverlap="1" wp14:anchorId="0A8E0AE8" wp14:editId="06452287">
                  <wp:simplePos x="0" y="0"/>
                  <wp:positionH relativeFrom="column">
                    <wp:posOffset>-47625</wp:posOffset>
                  </wp:positionH>
                  <wp:positionV relativeFrom="paragraph">
                    <wp:posOffset>0</wp:posOffset>
                  </wp:positionV>
                  <wp:extent cx="2047875" cy="495300"/>
                  <wp:effectExtent l="0" t="0" r="9525" b="0"/>
                  <wp:wrapTight wrapText="bothSides">
                    <wp:wrapPolygon edited="0">
                      <wp:start x="0" y="0"/>
                      <wp:lineTo x="0" y="20769"/>
                      <wp:lineTo x="21500" y="20769"/>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shd w:val="clear" w:color="auto" w:fill="auto"/>
            <w:tcMar>
              <w:top w:w="80" w:type="dxa"/>
              <w:left w:w="80" w:type="dxa"/>
              <w:bottom w:w="80" w:type="dxa"/>
              <w:right w:w="80" w:type="dxa"/>
            </w:tcMar>
          </w:tcPr>
          <w:p w14:paraId="4397C1AA" w14:textId="77777777" w:rsidR="006F17A9" w:rsidRPr="006531A8" w:rsidRDefault="006F17A9" w:rsidP="00EC1846">
            <w:pPr>
              <w:rPr>
                <w:rFonts w:ascii="Arial" w:hAnsi="Arial" w:cs="Arial"/>
                <w:sz w:val="24"/>
                <w:szCs w:val="24"/>
              </w:rPr>
            </w:pPr>
            <w:r w:rsidRPr="006531A8">
              <w:rPr>
                <w:rFonts w:ascii="Arial" w:hAnsi="Arial" w:cs="Arial"/>
                <w:noProof/>
                <w:sz w:val="24"/>
                <w:szCs w:val="24"/>
              </w:rPr>
              <w:drawing>
                <wp:inline distT="0" distB="0" distL="0" distR="0" wp14:anchorId="254A4A05" wp14:editId="2E066567">
                  <wp:extent cx="1570990" cy="5793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8096" cy="585646"/>
                          </a:xfrm>
                          <a:prstGeom prst="rect">
                            <a:avLst/>
                          </a:prstGeom>
                          <a:noFill/>
                          <a:ln>
                            <a:noFill/>
                          </a:ln>
                        </pic:spPr>
                      </pic:pic>
                    </a:graphicData>
                  </a:graphic>
                </wp:inline>
              </w:drawing>
            </w:r>
          </w:p>
        </w:tc>
      </w:tr>
      <w:tr w:rsidR="006F17A9" w:rsidRPr="006531A8" w14:paraId="1502E3F5" w14:textId="77777777" w:rsidTr="00D61765">
        <w:trPr>
          <w:trHeight w:val="292"/>
        </w:trPr>
        <w:tc>
          <w:tcPr>
            <w:tcW w:w="4677" w:type="dxa"/>
            <w:shd w:val="clear" w:color="auto" w:fill="auto"/>
            <w:tcMar>
              <w:top w:w="80" w:type="dxa"/>
              <w:left w:w="80" w:type="dxa"/>
              <w:bottom w:w="80" w:type="dxa"/>
              <w:right w:w="80" w:type="dxa"/>
            </w:tcMar>
          </w:tcPr>
          <w:p w14:paraId="42E010EF" w14:textId="77777777" w:rsidR="006F17A9" w:rsidRPr="006531A8" w:rsidRDefault="006F17A9" w:rsidP="00EC1846">
            <w:pPr>
              <w:rPr>
                <w:rFonts w:ascii="Arial" w:hAnsi="Arial" w:cs="Arial"/>
                <w:b/>
                <w:bCs/>
                <w:sz w:val="24"/>
                <w:szCs w:val="24"/>
              </w:rPr>
            </w:pPr>
            <w:r w:rsidRPr="006531A8">
              <w:rPr>
                <w:rFonts w:ascii="Arial" w:hAnsi="Arial" w:cs="Arial"/>
                <w:b/>
                <w:bCs/>
                <w:sz w:val="24"/>
                <w:szCs w:val="24"/>
              </w:rPr>
              <w:t xml:space="preserve">SHARON RAPPORT </w:t>
            </w:r>
          </w:p>
        </w:tc>
        <w:tc>
          <w:tcPr>
            <w:tcW w:w="4677" w:type="dxa"/>
            <w:shd w:val="clear" w:color="auto" w:fill="auto"/>
            <w:tcMar>
              <w:top w:w="80" w:type="dxa"/>
              <w:left w:w="80" w:type="dxa"/>
              <w:bottom w:w="80" w:type="dxa"/>
              <w:right w:w="80" w:type="dxa"/>
            </w:tcMar>
          </w:tcPr>
          <w:p w14:paraId="28F6896D" w14:textId="77777777" w:rsidR="006F17A9" w:rsidRPr="006531A8" w:rsidRDefault="006F17A9" w:rsidP="00EC1846">
            <w:pPr>
              <w:rPr>
                <w:rFonts w:ascii="Arial" w:hAnsi="Arial" w:cs="Arial"/>
                <w:sz w:val="24"/>
                <w:szCs w:val="24"/>
              </w:rPr>
            </w:pPr>
            <w:r w:rsidRPr="006531A8">
              <w:rPr>
                <w:rFonts w:ascii="Arial" w:hAnsi="Arial" w:cs="Arial"/>
                <w:b/>
                <w:bCs/>
                <w:sz w:val="24"/>
                <w:szCs w:val="24"/>
              </w:rPr>
              <w:t xml:space="preserve">LIBBY SCHAAF </w:t>
            </w:r>
          </w:p>
        </w:tc>
      </w:tr>
      <w:tr w:rsidR="006F17A9" w:rsidRPr="006531A8" w14:paraId="70EE952D" w14:textId="77777777" w:rsidTr="00D61765">
        <w:trPr>
          <w:trHeight w:val="292"/>
        </w:trPr>
        <w:tc>
          <w:tcPr>
            <w:tcW w:w="4677" w:type="dxa"/>
            <w:shd w:val="clear" w:color="auto" w:fill="auto"/>
            <w:tcMar>
              <w:top w:w="80" w:type="dxa"/>
              <w:left w:w="80" w:type="dxa"/>
              <w:bottom w:w="80" w:type="dxa"/>
              <w:right w:w="80" w:type="dxa"/>
            </w:tcMar>
          </w:tcPr>
          <w:p w14:paraId="2AEFDAD0" w14:textId="77777777" w:rsidR="006F17A9" w:rsidRPr="006531A8" w:rsidRDefault="006F17A9" w:rsidP="00EC1846">
            <w:pPr>
              <w:rPr>
                <w:rFonts w:ascii="Arial" w:hAnsi="Arial" w:cs="Arial"/>
                <w:sz w:val="24"/>
                <w:szCs w:val="24"/>
              </w:rPr>
            </w:pPr>
            <w:r w:rsidRPr="006531A8">
              <w:rPr>
                <w:rFonts w:ascii="Arial" w:hAnsi="Arial" w:cs="Arial"/>
                <w:sz w:val="24"/>
                <w:szCs w:val="24"/>
              </w:rPr>
              <w:t xml:space="preserve">Associate Director, Corporation for Supportive Housing </w:t>
            </w:r>
          </w:p>
        </w:tc>
        <w:tc>
          <w:tcPr>
            <w:tcW w:w="4677" w:type="dxa"/>
            <w:shd w:val="clear" w:color="auto" w:fill="auto"/>
            <w:tcMar>
              <w:top w:w="80" w:type="dxa"/>
              <w:left w:w="80" w:type="dxa"/>
              <w:bottom w:w="80" w:type="dxa"/>
              <w:right w:w="80" w:type="dxa"/>
            </w:tcMar>
          </w:tcPr>
          <w:p w14:paraId="4EAA28DD" w14:textId="77777777" w:rsidR="006F17A9" w:rsidRPr="006531A8" w:rsidRDefault="006F17A9" w:rsidP="00EC1846">
            <w:pPr>
              <w:rPr>
                <w:rFonts w:ascii="Arial" w:hAnsi="Arial" w:cs="Arial"/>
                <w:b/>
                <w:bCs/>
                <w:sz w:val="24"/>
                <w:szCs w:val="24"/>
              </w:rPr>
            </w:pPr>
            <w:r w:rsidRPr="006531A8">
              <w:rPr>
                <w:rFonts w:ascii="Arial" w:hAnsi="Arial" w:cs="Arial"/>
                <w:sz w:val="24"/>
                <w:szCs w:val="24"/>
              </w:rPr>
              <w:t xml:space="preserve">Mayor, City of Oakland </w:t>
            </w:r>
          </w:p>
        </w:tc>
      </w:tr>
      <w:tr w:rsidR="006F17A9" w:rsidRPr="006531A8" w14:paraId="1815A513" w14:textId="77777777" w:rsidTr="00D61765">
        <w:trPr>
          <w:trHeight w:val="292"/>
        </w:trPr>
        <w:tc>
          <w:tcPr>
            <w:tcW w:w="4677" w:type="dxa"/>
            <w:shd w:val="clear" w:color="auto" w:fill="auto"/>
            <w:tcMar>
              <w:top w:w="80" w:type="dxa"/>
              <w:left w:w="80" w:type="dxa"/>
              <w:bottom w:w="80" w:type="dxa"/>
              <w:right w:w="80" w:type="dxa"/>
            </w:tcMar>
          </w:tcPr>
          <w:p w14:paraId="0BDDD8F6" w14:textId="77777777" w:rsidR="006F17A9" w:rsidRPr="006531A8" w:rsidRDefault="006F17A9" w:rsidP="00EC1846">
            <w:pPr>
              <w:rPr>
                <w:rFonts w:ascii="Arial" w:hAnsi="Arial" w:cs="Arial"/>
                <w:sz w:val="24"/>
                <w:szCs w:val="24"/>
              </w:rPr>
            </w:pPr>
            <w:r w:rsidRPr="006531A8">
              <w:rPr>
                <w:rFonts w:ascii="Arial" w:eastAsia="Arial Unicode MS" w:hAnsi="Arial" w:cs="Arial"/>
                <w:noProof/>
                <w:color w:val="000000"/>
                <w:sz w:val="24"/>
                <w:szCs w:val="24"/>
                <w:u w:color="000000"/>
                <w:bdr w:val="nil"/>
                <w14:textOutline w14:w="0" w14:cap="flat" w14:cmpd="sng" w14:algn="ctr">
                  <w14:noFill/>
                  <w14:prstDash w14:val="solid"/>
                  <w14:bevel/>
                </w14:textOutline>
              </w:rPr>
              <w:drawing>
                <wp:inline distT="0" distB="0" distL="0" distR="0" wp14:anchorId="466CF41D" wp14:editId="5CDDD240">
                  <wp:extent cx="1266824" cy="6080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7668" cy="613281"/>
                          </a:xfrm>
                          <a:prstGeom prst="rect">
                            <a:avLst/>
                          </a:prstGeom>
                          <a:noFill/>
                          <a:ln>
                            <a:noFill/>
                          </a:ln>
                        </pic:spPr>
                      </pic:pic>
                    </a:graphicData>
                  </a:graphic>
                </wp:inline>
              </w:drawing>
            </w:r>
          </w:p>
        </w:tc>
        <w:tc>
          <w:tcPr>
            <w:tcW w:w="4677" w:type="dxa"/>
            <w:shd w:val="clear" w:color="auto" w:fill="auto"/>
            <w:tcMar>
              <w:top w:w="80" w:type="dxa"/>
              <w:left w:w="80" w:type="dxa"/>
              <w:bottom w:w="80" w:type="dxa"/>
              <w:right w:w="80" w:type="dxa"/>
            </w:tcMar>
          </w:tcPr>
          <w:p w14:paraId="58D90159" w14:textId="77777777" w:rsidR="006F17A9" w:rsidRPr="006531A8" w:rsidRDefault="006F17A9" w:rsidP="00EC1846">
            <w:pPr>
              <w:rPr>
                <w:rFonts w:ascii="Arial" w:hAnsi="Arial" w:cs="Arial"/>
                <w:sz w:val="24"/>
                <w:szCs w:val="24"/>
              </w:rPr>
            </w:pPr>
          </w:p>
        </w:tc>
      </w:tr>
      <w:tr w:rsidR="006F17A9" w:rsidRPr="006531A8" w14:paraId="2C3F4E25" w14:textId="77777777" w:rsidTr="00D61765">
        <w:trPr>
          <w:trHeight w:val="292"/>
        </w:trPr>
        <w:tc>
          <w:tcPr>
            <w:tcW w:w="4677" w:type="dxa"/>
            <w:shd w:val="clear" w:color="auto" w:fill="auto"/>
            <w:tcMar>
              <w:top w:w="80" w:type="dxa"/>
              <w:left w:w="80" w:type="dxa"/>
              <w:bottom w:w="80" w:type="dxa"/>
              <w:right w:w="80" w:type="dxa"/>
            </w:tcMar>
          </w:tcPr>
          <w:p w14:paraId="116A9968" w14:textId="77777777" w:rsidR="006F17A9" w:rsidRPr="006531A8" w:rsidRDefault="006F17A9" w:rsidP="00EC1846">
            <w:pPr>
              <w:tabs>
                <w:tab w:val="left" w:pos="1530"/>
              </w:tabs>
              <w:rPr>
                <w:rFonts w:ascii="Arial" w:hAnsi="Arial" w:cs="Arial"/>
                <w:noProof/>
                <w:sz w:val="24"/>
                <w:szCs w:val="24"/>
              </w:rPr>
            </w:pPr>
            <w:r w:rsidRPr="006531A8">
              <w:rPr>
                <w:rFonts w:ascii="Arial" w:hAnsi="Arial" w:cs="Arial"/>
                <w:b/>
                <w:bCs/>
                <w:noProof/>
                <w:sz w:val="24"/>
                <w:szCs w:val="24"/>
              </w:rPr>
              <w:t xml:space="preserve">ESMERALDA SORIA  </w:t>
            </w:r>
          </w:p>
        </w:tc>
        <w:tc>
          <w:tcPr>
            <w:tcW w:w="4677" w:type="dxa"/>
            <w:shd w:val="clear" w:color="auto" w:fill="auto"/>
            <w:tcMar>
              <w:top w:w="80" w:type="dxa"/>
              <w:left w:w="80" w:type="dxa"/>
              <w:bottom w:w="80" w:type="dxa"/>
              <w:right w:w="80" w:type="dxa"/>
            </w:tcMar>
          </w:tcPr>
          <w:p w14:paraId="418BD38B" w14:textId="77777777" w:rsidR="006F17A9" w:rsidRPr="006531A8" w:rsidRDefault="006F17A9" w:rsidP="00EC1846">
            <w:pPr>
              <w:rPr>
                <w:rFonts w:ascii="Arial" w:hAnsi="Arial" w:cs="Arial"/>
                <w:sz w:val="24"/>
                <w:szCs w:val="24"/>
              </w:rPr>
            </w:pPr>
          </w:p>
        </w:tc>
      </w:tr>
      <w:tr w:rsidR="006F17A9" w:rsidRPr="006531A8" w14:paraId="4F5902D0" w14:textId="77777777" w:rsidTr="00D61765">
        <w:trPr>
          <w:trHeight w:val="292"/>
        </w:trPr>
        <w:tc>
          <w:tcPr>
            <w:tcW w:w="4677" w:type="dxa"/>
            <w:shd w:val="clear" w:color="auto" w:fill="auto"/>
            <w:tcMar>
              <w:top w:w="80" w:type="dxa"/>
              <w:left w:w="80" w:type="dxa"/>
              <w:bottom w:w="80" w:type="dxa"/>
              <w:right w:w="80" w:type="dxa"/>
            </w:tcMar>
          </w:tcPr>
          <w:p w14:paraId="13A5A255" w14:textId="77777777" w:rsidR="006F17A9" w:rsidRPr="006531A8" w:rsidRDefault="006F17A9" w:rsidP="00EC1846">
            <w:pPr>
              <w:rPr>
                <w:rFonts w:ascii="Arial" w:hAnsi="Arial" w:cs="Arial"/>
                <w:noProof/>
                <w:sz w:val="24"/>
                <w:szCs w:val="24"/>
              </w:rPr>
            </w:pPr>
            <w:r w:rsidRPr="006531A8">
              <w:rPr>
                <w:rFonts w:ascii="Arial" w:hAnsi="Arial" w:cs="Arial"/>
                <w:noProof/>
                <w:sz w:val="24"/>
                <w:szCs w:val="24"/>
              </w:rPr>
              <w:t>Councilwoman, City of Fresno</w:t>
            </w:r>
          </w:p>
        </w:tc>
        <w:tc>
          <w:tcPr>
            <w:tcW w:w="4677" w:type="dxa"/>
            <w:shd w:val="clear" w:color="auto" w:fill="auto"/>
            <w:tcMar>
              <w:top w:w="80" w:type="dxa"/>
              <w:left w:w="80" w:type="dxa"/>
              <w:bottom w:w="80" w:type="dxa"/>
              <w:right w:w="80" w:type="dxa"/>
            </w:tcMar>
          </w:tcPr>
          <w:p w14:paraId="545155E5" w14:textId="77777777" w:rsidR="006F17A9" w:rsidRPr="006531A8" w:rsidRDefault="006F17A9" w:rsidP="00EC1846">
            <w:pPr>
              <w:rPr>
                <w:rFonts w:ascii="Arial" w:hAnsi="Arial" w:cs="Arial"/>
                <w:noProof/>
                <w:sz w:val="24"/>
                <w:szCs w:val="24"/>
              </w:rPr>
            </w:pPr>
          </w:p>
        </w:tc>
      </w:tr>
      <w:tr w:rsidR="006F17A9" w:rsidRPr="006531A8" w14:paraId="293E2ED1" w14:textId="77777777" w:rsidTr="00D61765">
        <w:trPr>
          <w:trHeight w:val="292"/>
        </w:trPr>
        <w:tc>
          <w:tcPr>
            <w:tcW w:w="4677" w:type="dxa"/>
            <w:shd w:val="clear" w:color="auto" w:fill="auto"/>
            <w:tcMar>
              <w:top w:w="80" w:type="dxa"/>
              <w:left w:w="80" w:type="dxa"/>
              <w:bottom w:w="80" w:type="dxa"/>
              <w:right w:w="80" w:type="dxa"/>
            </w:tcMar>
          </w:tcPr>
          <w:p w14:paraId="24CDD07D" w14:textId="77777777" w:rsidR="006F17A9" w:rsidRPr="006531A8" w:rsidRDefault="006F17A9" w:rsidP="00EC1846">
            <w:pPr>
              <w:rPr>
                <w:rFonts w:ascii="Arial" w:hAnsi="Arial" w:cs="Arial"/>
                <w:b/>
                <w:bCs/>
                <w:noProof/>
                <w:sz w:val="24"/>
                <w:szCs w:val="24"/>
              </w:rPr>
            </w:pPr>
          </w:p>
        </w:tc>
        <w:tc>
          <w:tcPr>
            <w:tcW w:w="4677" w:type="dxa"/>
            <w:shd w:val="clear" w:color="auto" w:fill="auto"/>
            <w:tcMar>
              <w:top w:w="80" w:type="dxa"/>
              <w:left w:w="80" w:type="dxa"/>
              <w:bottom w:w="80" w:type="dxa"/>
              <w:right w:w="80" w:type="dxa"/>
            </w:tcMar>
          </w:tcPr>
          <w:p w14:paraId="06C4069B" w14:textId="77777777" w:rsidR="006F17A9" w:rsidRPr="006531A8" w:rsidRDefault="006F17A9" w:rsidP="00EC1846">
            <w:pPr>
              <w:rPr>
                <w:rFonts w:ascii="Arial" w:hAnsi="Arial" w:cs="Arial"/>
                <w:noProof/>
                <w:sz w:val="24"/>
                <w:szCs w:val="24"/>
              </w:rPr>
            </w:pPr>
          </w:p>
        </w:tc>
      </w:tr>
      <w:tr w:rsidR="006F17A9" w:rsidRPr="006531A8" w14:paraId="427B6207" w14:textId="77777777" w:rsidTr="00D61765">
        <w:trPr>
          <w:trHeight w:val="292"/>
        </w:trPr>
        <w:tc>
          <w:tcPr>
            <w:tcW w:w="4677" w:type="dxa"/>
            <w:shd w:val="clear" w:color="auto" w:fill="auto"/>
            <w:tcMar>
              <w:top w:w="80" w:type="dxa"/>
              <w:left w:w="80" w:type="dxa"/>
              <w:bottom w:w="80" w:type="dxa"/>
              <w:right w:w="80" w:type="dxa"/>
            </w:tcMar>
          </w:tcPr>
          <w:p w14:paraId="5196DED8" w14:textId="77777777" w:rsidR="006F17A9" w:rsidRPr="006531A8" w:rsidRDefault="006F17A9" w:rsidP="00EC1846">
            <w:pPr>
              <w:rPr>
                <w:rFonts w:ascii="Arial" w:hAnsi="Arial" w:cs="Arial"/>
                <w:noProof/>
                <w:sz w:val="24"/>
                <w:szCs w:val="24"/>
              </w:rPr>
            </w:pPr>
          </w:p>
        </w:tc>
        <w:tc>
          <w:tcPr>
            <w:tcW w:w="4677" w:type="dxa"/>
            <w:shd w:val="clear" w:color="auto" w:fill="auto"/>
            <w:tcMar>
              <w:top w:w="80" w:type="dxa"/>
              <w:left w:w="80" w:type="dxa"/>
              <w:bottom w:w="80" w:type="dxa"/>
              <w:right w:w="80" w:type="dxa"/>
            </w:tcMar>
          </w:tcPr>
          <w:p w14:paraId="23EFD2EC" w14:textId="77777777" w:rsidR="006F17A9" w:rsidRPr="006531A8" w:rsidRDefault="006F17A9" w:rsidP="00EC1846">
            <w:pPr>
              <w:rPr>
                <w:rFonts w:ascii="Arial" w:hAnsi="Arial" w:cs="Arial"/>
                <w:noProof/>
                <w:sz w:val="24"/>
                <w:szCs w:val="24"/>
              </w:rPr>
            </w:pPr>
          </w:p>
        </w:tc>
      </w:tr>
      <w:tr w:rsidR="006F17A9" w:rsidRPr="006531A8" w14:paraId="637AB61B" w14:textId="77777777" w:rsidTr="00D61765">
        <w:trPr>
          <w:trHeight w:val="292"/>
        </w:trPr>
        <w:tc>
          <w:tcPr>
            <w:tcW w:w="4677" w:type="dxa"/>
            <w:shd w:val="clear" w:color="auto" w:fill="auto"/>
            <w:tcMar>
              <w:top w:w="80" w:type="dxa"/>
              <w:left w:w="80" w:type="dxa"/>
              <w:bottom w:w="80" w:type="dxa"/>
              <w:right w:w="80" w:type="dxa"/>
            </w:tcMar>
          </w:tcPr>
          <w:p w14:paraId="126C8C86" w14:textId="77777777" w:rsidR="006F17A9" w:rsidRPr="006531A8" w:rsidRDefault="006F17A9" w:rsidP="00EC1846">
            <w:pPr>
              <w:rPr>
                <w:rFonts w:ascii="Arial" w:hAnsi="Arial" w:cs="Arial"/>
                <w:noProof/>
                <w:sz w:val="24"/>
                <w:szCs w:val="24"/>
              </w:rPr>
            </w:pPr>
          </w:p>
        </w:tc>
        <w:tc>
          <w:tcPr>
            <w:tcW w:w="4677" w:type="dxa"/>
            <w:shd w:val="clear" w:color="auto" w:fill="auto"/>
            <w:tcMar>
              <w:top w:w="80" w:type="dxa"/>
              <w:left w:w="80" w:type="dxa"/>
              <w:bottom w:w="80" w:type="dxa"/>
              <w:right w:w="80" w:type="dxa"/>
            </w:tcMar>
          </w:tcPr>
          <w:p w14:paraId="6957AC52" w14:textId="77777777" w:rsidR="006F17A9" w:rsidRPr="006531A8" w:rsidRDefault="006F17A9" w:rsidP="00EC1846">
            <w:pPr>
              <w:rPr>
                <w:rFonts w:ascii="Arial" w:hAnsi="Arial" w:cs="Arial"/>
                <w:noProof/>
                <w:sz w:val="24"/>
                <w:szCs w:val="24"/>
              </w:rPr>
            </w:pPr>
          </w:p>
        </w:tc>
      </w:tr>
    </w:tbl>
    <w:p w14:paraId="36D221FC" w14:textId="77777777" w:rsidR="00011BB6" w:rsidRDefault="00011BB6"/>
    <w:sectPr w:rsidR="00011BB6">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6AE8" w14:textId="77777777" w:rsidR="00AE161E" w:rsidRDefault="00AE161E" w:rsidP="00C86F7B">
      <w:r>
        <w:separator/>
      </w:r>
    </w:p>
  </w:endnote>
  <w:endnote w:type="continuationSeparator" w:id="0">
    <w:p w14:paraId="40FFBCE3" w14:textId="77777777" w:rsidR="00AE161E" w:rsidRDefault="00AE161E" w:rsidP="00C8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52D04" w14:textId="77777777" w:rsidR="00AE161E" w:rsidRDefault="00AE161E" w:rsidP="00C86F7B">
      <w:r>
        <w:separator/>
      </w:r>
    </w:p>
  </w:footnote>
  <w:footnote w:type="continuationSeparator" w:id="0">
    <w:p w14:paraId="082397AB" w14:textId="77777777" w:rsidR="00AE161E" w:rsidRDefault="00AE161E" w:rsidP="00C8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9301E" w14:textId="065FC083" w:rsidR="00C86F7B" w:rsidRDefault="00C86F7B" w:rsidP="00C86F7B">
    <w:pPr>
      <w:pStyle w:val="Body"/>
      <w:spacing w:after="0" w:line="259" w:lineRule="auto"/>
      <w:ind w:left="0" w:firstLine="0"/>
      <w:jc w:val="left"/>
    </w:pPr>
    <w:r>
      <w:t xml:space="preserve">The Honorable Gavin Newsom </w:t>
    </w:r>
  </w:p>
  <w:p w14:paraId="5841D9AF" w14:textId="6B1AFD43" w:rsidR="00AE60A9" w:rsidRDefault="00C86F7B" w:rsidP="00C86F7B">
    <w:pPr>
      <w:pStyle w:val="Body"/>
      <w:spacing w:after="0" w:line="259" w:lineRule="auto"/>
      <w:ind w:left="0" w:firstLine="0"/>
      <w:jc w:val="left"/>
    </w:pPr>
    <w:r>
      <w:t xml:space="preserve">January </w:t>
    </w:r>
    <w:r w:rsidR="00AE60A9">
      <w:t>13,</w:t>
    </w:r>
    <w:r>
      <w:t xml:space="preserve"> 20</w:t>
    </w:r>
    <w:r w:rsidR="00AE60A9">
      <w:t>20</w:t>
    </w:r>
  </w:p>
  <w:p w14:paraId="2D74AF40" w14:textId="77777777" w:rsidR="00C86F7B" w:rsidRDefault="00C86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EC2"/>
    <w:multiLevelType w:val="hybridMultilevel"/>
    <w:tmpl w:val="7F541FF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FF916CD"/>
    <w:multiLevelType w:val="hybridMultilevel"/>
    <w:tmpl w:val="DFFA2A6A"/>
    <w:numStyleLink w:val="ImportedStyle1"/>
  </w:abstractNum>
  <w:abstractNum w:abstractNumId="2">
    <w:nsid w:val="65D271E3"/>
    <w:multiLevelType w:val="hybridMultilevel"/>
    <w:tmpl w:val="DFFA2A6A"/>
    <w:styleLink w:val="ImportedStyle1"/>
    <w:lvl w:ilvl="0" w:tplc="A69886A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E02868">
      <w:start w:val="1"/>
      <w:numFmt w:val="bullet"/>
      <w:lvlText w:val="o"/>
      <w:lvlJc w:val="left"/>
      <w:pPr>
        <w:ind w:left="7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94AAA2">
      <w:start w:val="1"/>
      <w:numFmt w:val="bullet"/>
      <w:lvlText w:val="▪"/>
      <w:lvlJc w:val="left"/>
      <w:pPr>
        <w:ind w:left="14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B84604">
      <w:start w:val="1"/>
      <w:numFmt w:val="bullet"/>
      <w:lvlText w:val="•"/>
      <w:lvlJc w:val="left"/>
      <w:pPr>
        <w:ind w:left="21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043736">
      <w:start w:val="1"/>
      <w:numFmt w:val="bullet"/>
      <w:lvlText w:val="o"/>
      <w:lvlJc w:val="left"/>
      <w:pPr>
        <w:ind w:left="289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0A1EEA">
      <w:start w:val="1"/>
      <w:numFmt w:val="bullet"/>
      <w:lvlText w:val="▪"/>
      <w:lvlJc w:val="left"/>
      <w:pPr>
        <w:ind w:left="361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14B362">
      <w:start w:val="1"/>
      <w:numFmt w:val="bullet"/>
      <w:lvlText w:val="•"/>
      <w:lvlJc w:val="left"/>
      <w:pPr>
        <w:ind w:left="433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900B73C">
      <w:start w:val="1"/>
      <w:numFmt w:val="bullet"/>
      <w:lvlText w:val="o"/>
      <w:lvlJc w:val="left"/>
      <w:pPr>
        <w:ind w:left="505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8075E8">
      <w:start w:val="1"/>
      <w:numFmt w:val="bullet"/>
      <w:lvlText w:val="▪"/>
      <w:lvlJc w:val="left"/>
      <w:pPr>
        <w:ind w:left="577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5"/>
    <w:rsid w:val="00011BB6"/>
    <w:rsid w:val="000207CE"/>
    <w:rsid w:val="00022E15"/>
    <w:rsid w:val="000569AD"/>
    <w:rsid w:val="00061DAB"/>
    <w:rsid w:val="00071D1C"/>
    <w:rsid w:val="00080D83"/>
    <w:rsid w:val="00085554"/>
    <w:rsid w:val="00093B8C"/>
    <w:rsid w:val="0009504D"/>
    <w:rsid w:val="000B2DF4"/>
    <w:rsid w:val="000C31F4"/>
    <w:rsid w:val="000D1CE0"/>
    <w:rsid w:val="000D3715"/>
    <w:rsid w:val="00103A83"/>
    <w:rsid w:val="00106DE3"/>
    <w:rsid w:val="00106F75"/>
    <w:rsid w:val="001176AF"/>
    <w:rsid w:val="0012152E"/>
    <w:rsid w:val="00140066"/>
    <w:rsid w:val="00151F35"/>
    <w:rsid w:val="00154B12"/>
    <w:rsid w:val="001637E0"/>
    <w:rsid w:val="00167DAE"/>
    <w:rsid w:val="00172ED4"/>
    <w:rsid w:val="00180733"/>
    <w:rsid w:val="001D2AB9"/>
    <w:rsid w:val="002079B5"/>
    <w:rsid w:val="00275DF7"/>
    <w:rsid w:val="002B307C"/>
    <w:rsid w:val="002C4824"/>
    <w:rsid w:val="002D5756"/>
    <w:rsid w:val="002E7789"/>
    <w:rsid w:val="002F1F94"/>
    <w:rsid w:val="003816F9"/>
    <w:rsid w:val="0038740A"/>
    <w:rsid w:val="003A304C"/>
    <w:rsid w:val="003C788D"/>
    <w:rsid w:val="003D3DDE"/>
    <w:rsid w:val="003D5D06"/>
    <w:rsid w:val="00467273"/>
    <w:rsid w:val="0049273A"/>
    <w:rsid w:val="004C386C"/>
    <w:rsid w:val="004E4A02"/>
    <w:rsid w:val="004F718B"/>
    <w:rsid w:val="00525FE6"/>
    <w:rsid w:val="00540C92"/>
    <w:rsid w:val="005515B4"/>
    <w:rsid w:val="0056617B"/>
    <w:rsid w:val="00595177"/>
    <w:rsid w:val="005A4467"/>
    <w:rsid w:val="005D530C"/>
    <w:rsid w:val="005E5096"/>
    <w:rsid w:val="00612B71"/>
    <w:rsid w:val="006531A8"/>
    <w:rsid w:val="00685677"/>
    <w:rsid w:val="006C037A"/>
    <w:rsid w:val="006C519B"/>
    <w:rsid w:val="006E10A7"/>
    <w:rsid w:val="006E2F50"/>
    <w:rsid w:val="006F17A9"/>
    <w:rsid w:val="006F5125"/>
    <w:rsid w:val="00702C5F"/>
    <w:rsid w:val="0071035B"/>
    <w:rsid w:val="00723E77"/>
    <w:rsid w:val="00727A2E"/>
    <w:rsid w:val="00775249"/>
    <w:rsid w:val="007A05A5"/>
    <w:rsid w:val="007A57CD"/>
    <w:rsid w:val="007C116F"/>
    <w:rsid w:val="007C5458"/>
    <w:rsid w:val="007E0305"/>
    <w:rsid w:val="007F484F"/>
    <w:rsid w:val="008020A2"/>
    <w:rsid w:val="00855BAB"/>
    <w:rsid w:val="00856E54"/>
    <w:rsid w:val="0087773A"/>
    <w:rsid w:val="00881143"/>
    <w:rsid w:val="008A74FB"/>
    <w:rsid w:val="008E0E5F"/>
    <w:rsid w:val="008E4474"/>
    <w:rsid w:val="00926FD5"/>
    <w:rsid w:val="00933769"/>
    <w:rsid w:val="00945A0F"/>
    <w:rsid w:val="00957D76"/>
    <w:rsid w:val="00985AAD"/>
    <w:rsid w:val="009A6BF9"/>
    <w:rsid w:val="009B59AD"/>
    <w:rsid w:val="009D5576"/>
    <w:rsid w:val="009E6DB0"/>
    <w:rsid w:val="00A0585B"/>
    <w:rsid w:val="00A26E87"/>
    <w:rsid w:val="00A375F5"/>
    <w:rsid w:val="00A429B2"/>
    <w:rsid w:val="00A52CFD"/>
    <w:rsid w:val="00A66ED5"/>
    <w:rsid w:val="00A75FE9"/>
    <w:rsid w:val="00A84255"/>
    <w:rsid w:val="00A87ADE"/>
    <w:rsid w:val="00AA33B0"/>
    <w:rsid w:val="00AA5588"/>
    <w:rsid w:val="00AE161E"/>
    <w:rsid w:val="00AE3666"/>
    <w:rsid w:val="00AE60A9"/>
    <w:rsid w:val="00AF45E0"/>
    <w:rsid w:val="00B109E4"/>
    <w:rsid w:val="00B45A73"/>
    <w:rsid w:val="00B64C0A"/>
    <w:rsid w:val="00B7579B"/>
    <w:rsid w:val="00B7695A"/>
    <w:rsid w:val="00B859FE"/>
    <w:rsid w:val="00B96D7F"/>
    <w:rsid w:val="00BB5B23"/>
    <w:rsid w:val="00BD7473"/>
    <w:rsid w:val="00BE7E04"/>
    <w:rsid w:val="00C12533"/>
    <w:rsid w:val="00C638F3"/>
    <w:rsid w:val="00C76826"/>
    <w:rsid w:val="00C86F7B"/>
    <w:rsid w:val="00C96514"/>
    <w:rsid w:val="00CF3E27"/>
    <w:rsid w:val="00D04DF3"/>
    <w:rsid w:val="00D06F27"/>
    <w:rsid w:val="00D61765"/>
    <w:rsid w:val="00D66EB5"/>
    <w:rsid w:val="00D70E19"/>
    <w:rsid w:val="00D73458"/>
    <w:rsid w:val="00D74EE7"/>
    <w:rsid w:val="00DE12D2"/>
    <w:rsid w:val="00E404B3"/>
    <w:rsid w:val="00E43FBB"/>
    <w:rsid w:val="00EE4E53"/>
    <w:rsid w:val="00EF1D91"/>
    <w:rsid w:val="00F344B5"/>
    <w:rsid w:val="00F34BA1"/>
    <w:rsid w:val="00F92359"/>
    <w:rsid w:val="00FA0F16"/>
    <w:rsid w:val="00FB4E02"/>
    <w:rsid w:val="00FC2635"/>
    <w:rsid w:val="00FD5CC8"/>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55"/>
    <w:rPr>
      <w:rFonts w:ascii="Segoe UI" w:hAnsi="Segoe UI" w:cs="Segoe UI"/>
      <w:sz w:val="18"/>
      <w:szCs w:val="18"/>
    </w:rPr>
  </w:style>
  <w:style w:type="paragraph" w:customStyle="1" w:styleId="Body">
    <w:name w:val="Body"/>
    <w:rsid w:val="00C86F7B"/>
    <w:pPr>
      <w:pBdr>
        <w:top w:val="nil"/>
        <w:left w:val="nil"/>
        <w:bottom w:val="nil"/>
        <w:right w:val="nil"/>
        <w:between w:val="nil"/>
        <w:bar w:val="nil"/>
      </w:pBdr>
      <w:spacing w:after="5" w:line="250" w:lineRule="auto"/>
      <w:ind w:left="10" w:hanging="10"/>
      <w:jc w:val="both"/>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C86F7B"/>
    <w:pPr>
      <w:numPr>
        <w:numId w:val="1"/>
      </w:numPr>
    </w:pPr>
  </w:style>
  <w:style w:type="paragraph" w:styleId="Header">
    <w:name w:val="header"/>
    <w:basedOn w:val="Normal"/>
    <w:link w:val="HeaderChar"/>
    <w:uiPriority w:val="99"/>
    <w:unhideWhenUsed/>
    <w:rsid w:val="00C86F7B"/>
    <w:pPr>
      <w:tabs>
        <w:tab w:val="center" w:pos="4680"/>
        <w:tab w:val="right" w:pos="9360"/>
      </w:tabs>
    </w:pPr>
  </w:style>
  <w:style w:type="character" w:customStyle="1" w:styleId="HeaderChar">
    <w:name w:val="Header Char"/>
    <w:basedOn w:val="DefaultParagraphFont"/>
    <w:link w:val="Header"/>
    <w:uiPriority w:val="99"/>
    <w:rsid w:val="00C86F7B"/>
    <w:rPr>
      <w:rFonts w:ascii="Calibri" w:hAnsi="Calibri" w:cs="Calibri"/>
    </w:rPr>
  </w:style>
  <w:style w:type="paragraph" w:styleId="Footer">
    <w:name w:val="footer"/>
    <w:basedOn w:val="Normal"/>
    <w:link w:val="FooterChar"/>
    <w:uiPriority w:val="99"/>
    <w:unhideWhenUsed/>
    <w:rsid w:val="00C86F7B"/>
    <w:pPr>
      <w:tabs>
        <w:tab w:val="center" w:pos="4680"/>
        <w:tab w:val="right" w:pos="9360"/>
      </w:tabs>
    </w:pPr>
  </w:style>
  <w:style w:type="character" w:customStyle="1" w:styleId="FooterChar">
    <w:name w:val="Footer Char"/>
    <w:basedOn w:val="DefaultParagraphFont"/>
    <w:link w:val="Footer"/>
    <w:uiPriority w:val="99"/>
    <w:rsid w:val="00C86F7B"/>
    <w:rPr>
      <w:rFonts w:ascii="Calibri" w:hAnsi="Calibri" w:cs="Calibri"/>
    </w:rPr>
  </w:style>
  <w:style w:type="paragraph" w:styleId="ListParagraph">
    <w:name w:val="List Paragraph"/>
    <w:basedOn w:val="Normal"/>
    <w:uiPriority w:val="34"/>
    <w:qFormat/>
    <w:rsid w:val="00856E54"/>
    <w:pPr>
      <w:spacing w:after="5" w:line="250" w:lineRule="auto"/>
      <w:ind w:left="720" w:hanging="10"/>
      <w:contextualSpacing/>
      <w:jc w:val="both"/>
    </w:pPr>
    <w:rPr>
      <w:rFonts w:ascii="Arial" w:eastAsia="Arial" w:hAnsi="Arial" w:cs="Arial"/>
      <w:color w:val="000000"/>
      <w:sz w:val="24"/>
    </w:rPr>
  </w:style>
  <w:style w:type="character" w:styleId="CommentReference">
    <w:name w:val="annotation reference"/>
    <w:basedOn w:val="DefaultParagraphFont"/>
    <w:uiPriority w:val="99"/>
    <w:semiHidden/>
    <w:unhideWhenUsed/>
    <w:rsid w:val="0038740A"/>
    <w:rPr>
      <w:sz w:val="16"/>
      <w:szCs w:val="16"/>
    </w:rPr>
  </w:style>
  <w:style w:type="paragraph" w:styleId="CommentText">
    <w:name w:val="annotation text"/>
    <w:basedOn w:val="Normal"/>
    <w:link w:val="CommentTextChar"/>
    <w:uiPriority w:val="99"/>
    <w:semiHidden/>
    <w:unhideWhenUsed/>
    <w:rsid w:val="0038740A"/>
    <w:pPr>
      <w:spacing w:after="5"/>
      <w:ind w:left="10"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38740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037A"/>
    <w:pPr>
      <w:spacing w:after="0"/>
      <w:ind w:left="0" w:firstLine="0"/>
      <w:jc w:val="left"/>
    </w:pPr>
    <w:rPr>
      <w:rFonts w:ascii="Calibri" w:eastAsiaTheme="minorHAnsi" w:hAnsi="Calibri" w:cs="Calibri"/>
      <w:b/>
      <w:bCs/>
      <w:color w:val="auto"/>
    </w:rPr>
  </w:style>
  <w:style w:type="character" w:customStyle="1" w:styleId="CommentSubjectChar">
    <w:name w:val="Comment Subject Char"/>
    <w:basedOn w:val="CommentTextChar"/>
    <w:link w:val="CommentSubject"/>
    <w:uiPriority w:val="99"/>
    <w:semiHidden/>
    <w:rsid w:val="006C037A"/>
    <w:rPr>
      <w:rFonts w:ascii="Calibri" w:eastAsia="Arial"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55"/>
    <w:rPr>
      <w:rFonts w:ascii="Segoe UI" w:hAnsi="Segoe UI" w:cs="Segoe UI"/>
      <w:sz w:val="18"/>
      <w:szCs w:val="18"/>
    </w:rPr>
  </w:style>
  <w:style w:type="paragraph" w:customStyle="1" w:styleId="Body">
    <w:name w:val="Body"/>
    <w:rsid w:val="00C86F7B"/>
    <w:pPr>
      <w:pBdr>
        <w:top w:val="nil"/>
        <w:left w:val="nil"/>
        <w:bottom w:val="nil"/>
        <w:right w:val="nil"/>
        <w:between w:val="nil"/>
        <w:bar w:val="nil"/>
      </w:pBdr>
      <w:spacing w:after="5" w:line="250" w:lineRule="auto"/>
      <w:ind w:left="10" w:hanging="10"/>
      <w:jc w:val="both"/>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C86F7B"/>
    <w:pPr>
      <w:numPr>
        <w:numId w:val="1"/>
      </w:numPr>
    </w:pPr>
  </w:style>
  <w:style w:type="paragraph" w:styleId="Header">
    <w:name w:val="header"/>
    <w:basedOn w:val="Normal"/>
    <w:link w:val="HeaderChar"/>
    <w:uiPriority w:val="99"/>
    <w:unhideWhenUsed/>
    <w:rsid w:val="00C86F7B"/>
    <w:pPr>
      <w:tabs>
        <w:tab w:val="center" w:pos="4680"/>
        <w:tab w:val="right" w:pos="9360"/>
      </w:tabs>
    </w:pPr>
  </w:style>
  <w:style w:type="character" w:customStyle="1" w:styleId="HeaderChar">
    <w:name w:val="Header Char"/>
    <w:basedOn w:val="DefaultParagraphFont"/>
    <w:link w:val="Header"/>
    <w:uiPriority w:val="99"/>
    <w:rsid w:val="00C86F7B"/>
    <w:rPr>
      <w:rFonts w:ascii="Calibri" w:hAnsi="Calibri" w:cs="Calibri"/>
    </w:rPr>
  </w:style>
  <w:style w:type="paragraph" w:styleId="Footer">
    <w:name w:val="footer"/>
    <w:basedOn w:val="Normal"/>
    <w:link w:val="FooterChar"/>
    <w:uiPriority w:val="99"/>
    <w:unhideWhenUsed/>
    <w:rsid w:val="00C86F7B"/>
    <w:pPr>
      <w:tabs>
        <w:tab w:val="center" w:pos="4680"/>
        <w:tab w:val="right" w:pos="9360"/>
      </w:tabs>
    </w:pPr>
  </w:style>
  <w:style w:type="character" w:customStyle="1" w:styleId="FooterChar">
    <w:name w:val="Footer Char"/>
    <w:basedOn w:val="DefaultParagraphFont"/>
    <w:link w:val="Footer"/>
    <w:uiPriority w:val="99"/>
    <w:rsid w:val="00C86F7B"/>
    <w:rPr>
      <w:rFonts w:ascii="Calibri" w:hAnsi="Calibri" w:cs="Calibri"/>
    </w:rPr>
  </w:style>
  <w:style w:type="paragraph" w:styleId="ListParagraph">
    <w:name w:val="List Paragraph"/>
    <w:basedOn w:val="Normal"/>
    <w:uiPriority w:val="34"/>
    <w:qFormat/>
    <w:rsid w:val="00856E54"/>
    <w:pPr>
      <w:spacing w:after="5" w:line="250" w:lineRule="auto"/>
      <w:ind w:left="720" w:hanging="10"/>
      <w:contextualSpacing/>
      <w:jc w:val="both"/>
    </w:pPr>
    <w:rPr>
      <w:rFonts w:ascii="Arial" w:eastAsia="Arial" w:hAnsi="Arial" w:cs="Arial"/>
      <w:color w:val="000000"/>
      <w:sz w:val="24"/>
    </w:rPr>
  </w:style>
  <w:style w:type="character" w:styleId="CommentReference">
    <w:name w:val="annotation reference"/>
    <w:basedOn w:val="DefaultParagraphFont"/>
    <w:uiPriority w:val="99"/>
    <w:semiHidden/>
    <w:unhideWhenUsed/>
    <w:rsid w:val="0038740A"/>
    <w:rPr>
      <w:sz w:val="16"/>
      <w:szCs w:val="16"/>
    </w:rPr>
  </w:style>
  <w:style w:type="paragraph" w:styleId="CommentText">
    <w:name w:val="annotation text"/>
    <w:basedOn w:val="Normal"/>
    <w:link w:val="CommentTextChar"/>
    <w:uiPriority w:val="99"/>
    <w:semiHidden/>
    <w:unhideWhenUsed/>
    <w:rsid w:val="0038740A"/>
    <w:pPr>
      <w:spacing w:after="5"/>
      <w:ind w:left="10" w:hanging="10"/>
      <w:jc w:val="both"/>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38740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037A"/>
    <w:pPr>
      <w:spacing w:after="0"/>
      <w:ind w:left="0" w:firstLine="0"/>
      <w:jc w:val="left"/>
    </w:pPr>
    <w:rPr>
      <w:rFonts w:ascii="Calibri" w:eastAsiaTheme="minorHAnsi" w:hAnsi="Calibri" w:cs="Calibri"/>
      <w:b/>
      <w:bCs/>
      <w:color w:val="auto"/>
    </w:rPr>
  </w:style>
  <w:style w:type="character" w:customStyle="1" w:styleId="CommentSubjectChar">
    <w:name w:val="Comment Subject Char"/>
    <w:basedOn w:val="CommentTextChar"/>
    <w:link w:val="CommentSubject"/>
    <w:uiPriority w:val="99"/>
    <w:semiHidden/>
    <w:rsid w:val="006C037A"/>
    <w:rPr>
      <w:rFonts w:ascii="Calibri" w:eastAsia="Arial"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4BB31ADD-F1CE-4536-8097-96355D293166"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521433ED9EA4C8669BCF0FD22E8C2" ma:contentTypeVersion="11" ma:contentTypeDescription="Create a new document." ma:contentTypeScope="" ma:versionID="100965a5dfec06ea82bcd1ffc4db15d2">
  <xsd:schema xmlns:xsd="http://www.w3.org/2001/XMLSchema" xmlns:xs="http://www.w3.org/2001/XMLSchema" xmlns:p="http://schemas.microsoft.com/office/2006/metadata/properties" xmlns:ns3="9d202e89-ba8d-4db5-a97f-0c7c1338d439" xmlns:ns4="9a448a52-bf14-499e-a010-0a83264e29e3" targetNamespace="http://schemas.microsoft.com/office/2006/metadata/properties" ma:root="true" ma:fieldsID="f4c308c9ef5e631f8164e691ecf578cf" ns3:_="" ns4:_="">
    <xsd:import namespace="9d202e89-ba8d-4db5-a97f-0c7c1338d439"/>
    <xsd:import namespace="9a448a52-bf14-499e-a010-0a83264e29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02e89-ba8d-4db5-a97f-0c7c1338d4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48a52-bf14-499e-a010-0a83264e29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C9A7-63A5-4040-B0DE-13D4A299828C}">
  <ds:schemaRefs>
    <ds:schemaRef ds:uri="http://schemas.microsoft.com/sharepoint/v3/contenttype/forms"/>
  </ds:schemaRefs>
</ds:datastoreItem>
</file>

<file path=customXml/itemProps2.xml><?xml version="1.0" encoding="utf-8"?>
<ds:datastoreItem xmlns:ds="http://schemas.openxmlformats.org/officeDocument/2006/customXml" ds:itemID="{F1C06EFB-B602-4B80-A6EC-B60BEE6DF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17C36-AF0F-4850-93C1-775C2A80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02e89-ba8d-4db5-a97f-0c7c1338d439"/>
    <ds:schemaRef ds:uri="9a448a52-bf14-499e-a010-0a83264e2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9E9C5-6333-474C-8A49-3FCA0AF3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Jaycob Bytel</dc:creator>
  <cp:lastModifiedBy>Sara Floor</cp:lastModifiedBy>
  <cp:revision>2</cp:revision>
  <cp:lastPrinted>2020-01-10T21:02:00Z</cp:lastPrinted>
  <dcterms:created xsi:type="dcterms:W3CDTF">2020-01-14T17:42:00Z</dcterms:created>
  <dcterms:modified xsi:type="dcterms:W3CDTF">2020-01-14T17:42:00Z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0x01010094A521433ED9EA4C8669BCF0FD22E8C2</vt:lpwstr>
  </property>
</Properties>
</file>