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EDF2C" w14:textId="77777777" w:rsidR="008E339D" w:rsidRPr="006C352D" w:rsidRDefault="008E339D" w:rsidP="006C352D">
      <w:pPr>
        <w:spacing w:after="0" w:line="276" w:lineRule="auto"/>
        <w:rPr>
          <w:rFonts w:ascii="Open Sans" w:hAnsi="Open Sans" w:cs="Open Sans"/>
          <w:sz w:val="22"/>
          <w:szCs w:val="22"/>
          <w:highlight w:val="yellow"/>
        </w:rPr>
      </w:pPr>
      <w:r w:rsidRPr="006C352D">
        <w:rPr>
          <w:rFonts w:ascii="Open Sans" w:hAnsi="Open Sans" w:cs="Open Sans"/>
          <w:sz w:val="22"/>
          <w:szCs w:val="22"/>
          <w:highlight w:val="yellow"/>
        </w:rPr>
        <w:t>[Date]  </w:t>
      </w:r>
    </w:p>
    <w:p w14:paraId="17C47DBF" w14:textId="77777777" w:rsidR="008E339D" w:rsidRPr="006C352D" w:rsidRDefault="008E339D" w:rsidP="006C352D">
      <w:pPr>
        <w:spacing w:after="0" w:line="276" w:lineRule="auto"/>
        <w:ind w:firstLine="720"/>
        <w:rPr>
          <w:rFonts w:ascii="Open Sans" w:hAnsi="Open Sans" w:cs="Open Sans"/>
          <w:sz w:val="22"/>
          <w:szCs w:val="22"/>
        </w:rPr>
      </w:pPr>
      <w:r w:rsidRPr="006C352D">
        <w:rPr>
          <w:rFonts w:ascii="Open Sans" w:hAnsi="Open Sans" w:cs="Open Sans"/>
          <w:sz w:val="22"/>
          <w:szCs w:val="22"/>
        </w:rPr>
        <w:t> </w:t>
      </w:r>
    </w:p>
    <w:p w14:paraId="6818BBEF" w14:textId="564845C5" w:rsidR="008E339D" w:rsidRPr="006C352D" w:rsidRDefault="008E339D" w:rsidP="006C352D">
      <w:pPr>
        <w:spacing w:after="0" w:line="276" w:lineRule="auto"/>
        <w:rPr>
          <w:rFonts w:ascii="Open Sans" w:hAnsi="Open Sans" w:cs="Open Sans"/>
          <w:sz w:val="22"/>
          <w:szCs w:val="22"/>
          <w:highlight w:val="yellow"/>
        </w:rPr>
      </w:pPr>
      <w:r w:rsidRPr="006C352D">
        <w:rPr>
          <w:rFonts w:ascii="Open Sans" w:hAnsi="Open Sans" w:cs="Open Sans"/>
          <w:sz w:val="22"/>
          <w:szCs w:val="22"/>
        </w:rPr>
        <w:t>The Honorable</w:t>
      </w:r>
      <w:r w:rsidR="0006146E">
        <w:rPr>
          <w:rFonts w:ascii="Open Sans" w:hAnsi="Open Sans" w:cs="Open Sans"/>
          <w:sz w:val="22"/>
          <w:szCs w:val="22"/>
        </w:rPr>
        <w:t xml:space="preserve"> Lola Smallwood</w:t>
      </w:r>
      <w:r w:rsidR="003761E3">
        <w:rPr>
          <w:rFonts w:ascii="Open Sans" w:hAnsi="Open Sans" w:cs="Open Sans"/>
          <w:sz w:val="22"/>
          <w:szCs w:val="22"/>
        </w:rPr>
        <w:t>-</w:t>
      </w:r>
      <w:r w:rsidR="0006146E">
        <w:rPr>
          <w:rFonts w:ascii="Open Sans" w:hAnsi="Open Sans" w:cs="Open Sans"/>
          <w:sz w:val="22"/>
          <w:szCs w:val="22"/>
        </w:rPr>
        <w:t>Cuevas</w:t>
      </w:r>
    </w:p>
    <w:p w14:paraId="17EEBED5" w14:textId="2DCC977D" w:rsidR="008E339D" w:rsidRPr="00C6475F" w:rsidRDefault="008E339D" w:rsidP="006C352D">
      <w:pPr>
        <w:spacing w:after="0" w:line="276" w:lineRule="auto"/>
        <w:rPr>
          <w:rFonts w:ascii="Open Sans" w:hAnsi="Open Sans" w:cs="Open Sans"/>
          <w:sz w:val="22"/>
          <w:szCs w:val="22"/>
        </w:rPr>
      </w:pPr>
      <w:r w:rsidRPr="00C6475F">
        <w:rPr>
          <w:rFonts w:ascii="Open Sans" w:hAnsi="Open Sans" w:cs="Open Sans"/>
          <w:sz w:val="22"/>
          <w:szCs w:val="22"/>
        </w:rPr>
        <w:t xml:space="preserve"> Chair, </w:t>
      </w:r>
      <w:r w:rsidR="00C6475F" w:rsidRPr="00C6475F">
        <w:rPr>
          <w:rFonts w:ascii="Open Sans" w:hAnsi="Open Sans" w:cs="Open Sans"/>
          <w:sz w:val="22"/>
          <w:szCs w:val="22"/>
        </w:rPr>
        <w:t xml:space="preserve">Labor, Public Employment and Retirement Committee </w:t>
      </w:r>
      <w:r w:rsidRPr="00C6475F">
        <w:rPr>
          <w:rFonts w:ascii="Open Sans" w:hAnsi="Open Sans" w:cs="Open Sans"/>
          <w:sz w:val="22"/>
          <w:szCs w:val="22"/>
        </w:rPr>
        <w:t>  </w:t>
      </w:r>
    </w:p>
    <w:p w14:paraId="66B565EC" w14:textId="02005974" w:rsidR="008E339D" w:rsidRDefault="000D0330" w:rsidP="006C352D">
      <w:pPr>
        <w:spacing w:after="0" w:line="276" w:lineRule="auto"/>
        <w:rPr>
          <w:rFonts w:ascii="Open Sans" w:hAnsi="Open Sans" w:cs="Open Sans"/>
          <w:sz w:val="22"/>
          <w:szCs w:val="22"/>
        </w:rPr>
      </w:pPr>
      <w:r w:rsidRPr="000D0330">
        <w:rPr>
          <w:rFonts w:ascii="Open Sans" w:hAnsi="Open Sans" w:cs="Open Sans"/>
          <w:sz w:val="22"/>
          <w:szCs w:val="22"/>
        </w:rPr>
        <w:t>1021 O Street, Room 6740</w:t>
      </w:r>
      <w:r w:rsidRPr="000D0330">
        <w:rPr>
          <w:rFonts w:ascii="Open Sans" w:hAnsi="Open Sans" w:cs="Open Sans"/>
          <w:sz w:val="22"/>
          <w:szCs w:val="22"/>
        </w:rPr>
        <w:br/>
        <w:t>Sacramento, CA 95814</w:t>
      </w:r>
    </w:p>
    <w:p w14:paraId="3F7F8A0A" w14:textId="77777777" w:rsidR="000D0330" w:rsidRPr="006C352D" w:rsidRDefault="000D0330" w:rsidP="006C352D">
      <w:pPr>
        <w:spacing w:after="0" w:line="276" w:lineRule="auto"/>
        <w:rPr>
          <w:rFonts w:ascii="Open Sans" w:hAnsi="Open Sans" w:cs="Open Sans"/>
          <w:sz w:val="22"/>
          <w:szCs w:val="22"/>
        </w:rPr>
      </w:pPr>
    </w:p>
    <w:p w14:paraId="6D0DB137" w14:textId="3EC6DCB4" w:rsidR="008E339D" w:rsidRPr="006C352D" w:rsidRDefault="008E339D" w:rsidP="006C352D">
      <w:pPr>
        <w:spacing w:after="0" w:line="276" w:lineRule="auto"/>
        <w:ind w:left="720" w:hanging="720"/>
        <w:rPr>
          <w:rFonts w:ascii="Open Sans" w:hAnsi="Open Sans" w:cs="Open Sans"/>
          <w:b/>
          <w:bCs/>
          <w:sz w:val="22"/>
          <w:szCs w:val="22"/>
        </w:rPr>
      </w:pPr>
      <w:r w:rsidRPr="006C352D">
        <w:rPr>
          <w:rFonts w:ascii="Open Sans" w:hAnsi="Open Sans" w:cs="Open Sans"/>
          <w:b/>
          <w:bCs/>
          <w:sz w:val="22"/>
          <w:szCs w:val="22"/>
        </w:rPr>
        <w:t>RE</w:t>
      </w:r>
      <w:proofErr w:type="gramStart"/>
      <w:r w:rsidRPr="006C352D">
        <w:rPr>
          <w:rFonts w:ascii="Open Sans" w:hAnsi="Open Sans" w:cs="Open Sans"/>
          <w:b/>
          <w:bCs/>
          <w:sz w:val="22"/>
          <w:szCs w:val="22"/>
        </w:rPr>
        <w:t xml:space="preserve">: </w:t>
      </w:r>
      <w:r w:rsidRPr="006C352D">
        <w:rPr>
          <w:rFonts w:ascii="Open Sans" w:hAnsi="Open Sans" w:cs="Open Sans"/>
          <w:b/>
          <w:bCs/>
          <w:sz w:val="22"/>
          <w:szCs w:val="22"/>
        </w:rPr>
        <w:tab/>
        <w:t>Assembly</w:t>
      </w:r>
      <w:proofErr w:type="gramEnd"/>
      <w:r w:rsidRPr="006C352D">
        <w:rPr>
          <w:rFonts w:ascii="Open Sans" w:hAnsi="Open Sans" w:cs="Open Sans"/>
          <w:b/>
          <w:bCs/>
          <w:sz w:val="22"/>
          <w:szCs w:val="22"/>
        </w:rPr>
        <w:t xml:space="preserve"> Bill 339 (Ortega) - Local public employee organizations: notice requirements </w:t>
      </w:r>
    </w:p>
    <w:p w14:paraId="1EADA048" w14:textId="180F3F8D" w:rsidR="008E339D" w:rsidRPr="006C352D" w:rsidRDefault="008E339D" w:rsidP="006C352D">
      <w:pPr>
        <w:spacing w:after="0" w:line="276" w:lineRule="auto"/>
        <w:ind w:left="720" w:hanging="720"/>
        <w:rPr>
          <w:rFonts w:ascii="Open Sans" w:hAnsi="Open Sans" w:cs="Open Sans"/>
          <w:b/>
          <w:bCs/>
          <w:sz w:val="22"/>
          <w:szCs w:val="22"/>
        </w:rPr>
      </w:pPr>
      <w:r w:rsidRPr="006C352D">
        <w:rPr>
          <w:rFonts w:ascii="Open Sans" w:hAnsi="Open Sans" w:cs="Open Sans"/>
          <w:b/>
          <w:bCs/>
          <w:sz w:val="22"/>
          <w:szCs w:val="22"/>
        </w:rPr>
        <w:tab/>
        <w:t xml:space="preserve">As amended May 23, 2025 </w:t>
      </w:r>
    </w:p>
    <w:p w14:paraId="2533BF5F" w14:textId="49862A86" w:rsidR="008E339D" w:rsidRPr="006C352D" w:rsidRDefault="008E339D" w:rsidP="006C352D">
      <w:pPr>
        <w:spacing w:after="0" w:line="276" w:lineRule="auto"/>
        <w:ind w:left="720" w:hanging="720"/>
        <w:rPr>
          <w:rFonts w:ascii="Open Sans" w:hAnsi="Open Sans" w:cs="Open Sans"/>
          <w:b/>
          <w:bCs/>
          <w:sz w:val="22"/>
          <w:szCs w:val="22"/>
        </w:rPr>
      </w:pPr>
      <w:r w:rsidRPr="006C352D">
        <w:rPr>
          <w:rFonts w:ascii="Open Sans" w:hAnsi="Open Sans" w:cs="Open Sans"/>
          <w:b/>
          <w:bCs/>
          <w:sz w:val="22"/>
          <w:szCs w:val="22"/>
        </w:rPr>
        <w:tab/>
        <w:t xml:space="preserve">To be heard in Senate </w:t>
      </w:r>
      <w:r w:rsidR="000D0330" w:rsidRPr="003761E3">
        <w:rPr>
          <w:rFonts w:ascii="Open Sans" w:hAnsi="Open Sans" w:cs="Open Sans"/>
          <w:b/>
          <w:bCs/>
          <w:sz w:val="22"/>
          <w:szCs w:val="22"/>
        </w:rPr>
        <w:t xml:space="preserve">Labor, Public Employment and Retirement </w:t>
      </w:r>
      <w:proofErr w:type="gramStart"/>
      <w:r w:rsidR="000D0330" w:rsidRPr="003761E3">
        <w:rPr>
          <w:rFonts w:ascii="Open Sans" w:hAnsi="Open Sans" w:cs="Open Sans"/>
          <w:b/>
          <w:bCs/>
          <w:sz w:val="22"/>
          <w:szCs w:val="22"/>
        </w:rPr>
        <w:t>Committee  </w:t>
      </w:r>
      <w:r w:rsidRPr="003761E3">
        <w:rPr>
          <w:rFonts w:ascii="Open Sans" w:hAnsi="Open Sans" w:cs="Open Sans"/>
          <w:b/>
          <w:bCs/>
          <w:sz w:val="22"/>
          <w:szCs w:val="22"/>
        </w:rPr>
        <w:t>–</w:t>
      </w:r>
      <w:proofErr w:type="gramEnd"/>
      <w:r w:rsidRPr="003761E3">
        <w:rPr>
          <w:rFonts w:ascii="Open Sans" w:hAnsi="Open Sans" w:cs="Open Sans"/>
          <w:b/>
          <w:bCs/>
          <w:sz w:val="22"/>
          <w:szCs w:val="22"/>
        </w:rPr>
        <w:t xml:space="preserve"> </w:t>
      </w:r>
      <w:r w:rsidR="003761E3" w:rsidRPr="003761E3">
        <w:rPr>
          <w:rFonts w:ascii="Open Sans" w:hAnsi="Open Sans" w:cs="Open Sans"/>
          <w:b/>
          <w:bCs/>
          <w:sz w:val="22"/>
          <w:szCs w:val="22"/>
        </w:rPr>
        <w:t>June 18, 2025</w:t>
      </w:r>
      <w:r w:rsidR="003761E3">
        <w:rPr>
          <w:rFonts w:ascii="Open Sans" w:hAnsi="Open Sans" w:cs="Open Sans"/>
          <w:b/>
          <w:bCs/>
          <w:sz w:val="22"/>
          <w:szCs w:val="22"/>
        </w:rPr>
        <w:t xml:space="preserve"> </w:t>
      </w:r>
      <w:r w:rsidRPr="006C352D">
        <w:rPr>
          <w:rFonts w:ascii="Open Sans" w:hAnsi="Open Sans" w:cs="Open Sans"/>
          <w:b/>
          <w:bCs/>
          <w:sz w:val="22"/>
          <w:szCs w:val="22"/>
        </w:rPr>
        <w:t xml:space="preserve"> </w:t>
      </w:r>
    </w:p>
    <w:p w14:paraId="6258683C" w14:textId="77777777" w:rsidR="008E339D" w:rsidRPr="006C352D" w:rsidRDefault="008E339D" w:rsidP="006C352D">
      <w:pPr>
        <w:spacing w:after="0" w:line="276" w:lineRule="auto"/>
        <w:rPr>
          <w:rFonts w:ascii="Open Sans" w:hAnsi="Open Sans" w:cs="Open Sans"/>
          <w:sz w:val="22"/>
          <w:szCs w:val="22"/>
        </w:rPr>
      </w:pPr>
    </w:p>
    <w:p w14:paraId="2F233A00" w14:textId="1FBBDAA7" w:rsidR="008E339D" w:rsidRPr="006C352D" w:rsidRDefault="008E339D" w:rsidP="006C352D">
      <w:pPr>
        <w:spacing w:after="0" w:line="276" w:lineRule="auto"/>
        <w:rPr>
          <w:rFonts w:ascii="Open Sans" w:hAnsi="Open Sans" w:cs="Open Sans"/>
          <w:sz w:val="22"/>
          <w:szCs w:val="22"/>
        </w:rPr>
      </w:pPr>
      <w:r w:rsidRPr="006C352D">
        <w:rPr>
          <w:rFonts w:ascii="Open Sans" w:hAnsi="Open Sans" w:cs="Open Sans"/>
          <w:sz w:val="22"/>
          <w:szCs w:val="22"/>
        </w:rPr>
        <w:t>Dear Chair</w:t>
      </w:r>
      <w:r w:rsidR="003761E3">
        <w:rPr>
          <w:rFonts w:ascii="Open Sans" w:hAnsi="Open Sans" w:cs="Open Sans"/>
          <w:sz w:val="22"/>
          <w:szCs w:val="22"/>
        </w:rPr>
        <w:t xml:space="preserve"> Smallwood-Cuevas</w:t>
      </w:r>
    </w:p>
    <w:p w14:paraId="32020DCA" w14:textId="77777777" w:rsidR="008E339D" w:rsidRPr="006C352D" w:rsidRDefault="008E339D" w:rsidP="006C352D">
      <w:pPr>
        <w:spacing w:after="0" w:line="276" w:lineRule="auto"/>
        <w:rPr>
          <w:rFonts w:ascii="Open Sans" w:hAnsi="Open Sans" w:cs="Open Sans"/>
          <w:sz w:val="22"/>
          <w:szCs w:val="22"/>
        </w:rPr>
      </w:pPr>
    </w:p>
    <w:p w14:paraId="4A275C98" w14:textId="35C8C98C" w:rsidR="00301066" w:rsidRPr="006C352D" w:rsidRDefault="00E71BB0" w:rsidP="006C352D">
      <w:pPr>
        <w:spacing w:after="0" w:line="276" w:lineRule="auto"/>
        <w:rPr>
          <w:rFonts w:ascii="Open Sans" w:hAnsi="Open Sans" w:cs="Open Sans"/>
          <w:sz w:val="22"/>
          <w:szCs w:val="22"/>
        </w:rPr>
      </w:pPr>
      <w:r w:rsidRPr="006C352D">
        <w:rPr>
          <w:rFonts w:ascii="Open Sans" w:hAnsi="Open Sans" w:cs="Open Sans"/>
          <w:sz w:val="22"/>
          <w:szCs w:val="22"/>
        </w:rPr>
        <w:t xml:space="preserve">On behalf of </w:t>
      </w:r>
      <w:proofErr w:type="gramStart"/>
      <w:r w:rsidRPr="006C352D">
        <w:rPr>
          <w:rFonts w:ascii="Open Sans" w:hAnsi="Open Sans" w:cs="Open Sans"/>
          <w:sz w:val="22"/>
          <w:szCs w:val="22"/>
          <w:highlight w:val="yellow"/>
        </w:rPr>
        <w:t>[County]</w:t>
      </w:r>
      <w:proofErr w:type="gramEnd"/>
      <w:r w:rsidRPr="006C352D">
        <w:rPr>
          <w:rFonts w:ascii="Open Sans" w:hAnsi="Open Sans" w:cs="Open Sans"/>
          <w:sz w:val="22"/>
          <w:szCs w:val="22"/>
        </w:rPr>
        <w:t xml:space="preserve"> we write in respectful opposition to Assembly Bill 339. This measure would require the governing body of a local public agency (non-school) to provide written notice to the employee organization no less than 120 days prior to issuing a request for proposals, request for quotes, or renewing or extending an existing contract to perform services that are within the scope of work of the job classifications represented by the recognized employee organization. AB 339 would be impractical in its execution, </w:t>
      </w:r>
      <w:proofErr w:type="gramStart"/>
      <w:r w:rsidRPr="006C352D">
        <w:rPr>
          <w:rFonts w:ascii="Open Sans" w:hAnsi="Open Sans" w:cs="Open Sans"/>
          <w:sz w:val="22"/>
          <w:szCs w:val="22"/>
        </w:rPr>
        <w:t>is</w:t>
      </w:r>
      <w:proofErr w:type="gramEnd"/>
      <w:r w:rsidRPr="006C352D">
        <w:rPr>
          <w:rFonts w:ascii="Open Sans" w:hAnsi="Open Sans" w:cs="Open Sans"/>
          <w:sz w:val="22"/>
          <w:szCs w:val="22"/>
        </w:rPr>
        <w:t xml:space="preserve"> unworkable for ensuring provision of public services, and disincentivizes reaching final agreement in local labor negotiations. </w:t>
      </w:r>
      <w:r w:rsidR="00A75390" w:rsidRPr="006C352D">
        <w:rPr>
          <w:rFonts w:ascii="Open Sans" w:hAnsi="Open Sans" w:cs="Open Sans"/>
          <w:sz w:val="22"/>
          <w:szCs w:val="22"/>
          <w:highlight w:val="yellow"/>
        </w:rPr>
        <w:t>[Insert direct impact to your county].</w:t>
      </w:r>
      <w:r w:rsidR="00A75390" w:rsidRPr="006C352D">
        <w:rPr>
          <w:rFonts w:ascii="Open Sans" w:hAnsi="Open Sans" w:cs="Open Sans"/>
          <w:sz w:val="22"/>
          <w:szCs w:val="22"/>
        </w:rPr>
        <w:t xml:space="preserve"> </w:t>
      </w:r>
    </w:p>
    <w:p w14:paraId="2D522345" w14:textId="77777777" w:rsidR="00301066" w:rsidRPr="006C352D" w:rsidRDefault="00301066" w:rsidP="006C352D">
      <w:pPr>
        <w:spacing w:after="0" w:line="276" w:lineRule="auto"/>
        <w:rPr>
          <w:rFonts w:ascii="Open Sans" w:hAnsi="Open Sans" w:cs="Open Sans"/>
          <w:sz w:val="22"/>
          <w:szCs w:val="22"/>
        </w:rPr>
      </w:pPr>
    </w:p>
    <w:p w14:paraId="6FAD87F1" w14:textId="77777777" w:rsidR="00A75390" w:rsidRDefault="00E71BB0" w:rsidP="006C352D">
      <w:pPr>
        <w:spacing w:after="0" w:line="276" w:lineRule="auto"/>
        <w:rPr>
          <w:rFonts w:ascii="Open Sans" w:hAnsi="Open Sans" w:cs="Open Sans"/>
          <w:sz w:val="22"/>
          <w:szCs w:val="22"/>
        </w:rPr>
      </w:pPr>
      <w:r w:rsidRPr="006C352D">
        <w:rPr>
          <w:rFonts w:ascii="Open Sans" w:hAnsi="Open Sans" w:cs="Open Sans"/>
          <w:sz w:val="22"/>
          <w:szCs w:val="22"/>
        </w:rPr>
        <w:t xml:space="preserve">AB 339 applies to </w:t>
      </w:r>
      <w:r w:rsidRPr="006C352D">
        <w:rPr>
          <w:rFonts w:ascii="Open Sans" w:hAnsi="Open Sans" w:cs="Open Sans"/>
          <w:b/>
          <w:bCs/>
          <w:i/>
          <w:iCs/>
          <w:sz w:val="22"/>
          <w:szCs w:val="22"/>
        </w:rPr>
        <w:t>any</w:t>
      </w:r>
      <w:r w:rsidRPr="006C352D">
        <w:rPr>
          <w:rFonts w:ascii="Open Sans" w:hAnsi="Open Sans" w:cs="Open Sans"/>
          <w:sz w:val="22"/>
          <w:szCs w:val="22"/>
        </w:rPr>
        <w:t xml:space="preserve"> contract that is within the scope of work of any job classification represented by a recognized employee organization; for local agencies with represented workforces, this essentially means nearly every contract would be subject to notice and possible meet and confer. This provision is considerably broader than the existing requirement for bargaining under the Meyers-Milias Brown Act (MMBA); under existing law, where contracting out is legally permissible, local agencies are still required to “meet and confer in good faith” with any affected bargaining unit prior to making any decision </w:t>
      </w:r>
      <w:r w:rsidRPr="00C85A2C">
        <w:rPr>
          <w:rFonts w:ascii="Open Sans" w:hAnsi="Open Sans" w:cs="Open Sans"/>
          <w:i/>
          <w:iCs/>
          <w:sz w:val="22"/>
          <w:szCs w:val="22"/>
        </w:rPr>
        <w:t xml:space="preserve">that is within the scope of representation. </w:t>
      </w:r>
      <w:r w:rsidRPr="00C85A2C">
        <w:rPr>
          <w:rFonts w:ascii="Open Sans" w:hAnsi="Open Sans" w:cs="Open Sans"/>
          <w:sz w:val="22"/>
          <w:szCs w:val="22"/>
        </w:rPr>
        <w:t>(Gov</w:t>
      </w:r>
      <w:r w:rsidRPr="006C352D">
        <w:rPr>
          <w:rFonts w:ascii="Open Sans" w:hAnsi="Open Sans" w:cs="Open Sans"/>
          <w:sz w:val="22"/>
          <w:szCs w:val="22"/>
        </w:rPr>
        <w:t xml:space="preserve">. Code, §§ 3505.) However, there are several common-sense exceptions to this requirement – including where there is a longstanding past practice of contracting for </w:t>
      </w:r>
      <w:proofErr w:type="gramStart"/>
      <w:r w:rsidRPr="006C352D">
        <w:rPr>
          <w:rFonts w:ascii="Open Sans" w:hAnsi="Open Sans" w:cs="Open Sans"/>
          <w:sz w:val="22"/>
          <w:szCs w:val="22"/>
        </w:rPr>
        <w:t>particular services</w:t>
      </w:r>
      <w:proofErr w:type="gramEnd"/>
      <w:r w:rsidRPr="006C352D">
        <w:rPr>
          <w:rFonts w:ascii="Open Sans" w:hAnsi="Open Sans" w:cs="Open Sans"/>
          <w:sz w:val="22"/>
          <w:szCs w:val="22"/>
        </w:rPr>
        <w:t xml:space="preserve">, or </w:t>
      </w:r>
      <w:proofErr w:type="gramStart"/>
      <w:r w:rsidRPr="006C352D">
        <w:rPr>
          <w:rFonts w:ascii="Open Sans" w:hAnsi="Open Sans" w:cs="Open Sans"/>
          <w:sz w:val="22"/>
          <w:szCs w:val="22"/>
        </w:rPr>
        <w:t>where</w:t>
      </w:r>
      <w:proofErr w:type="gramEnd"/>
      <w:r w:rsidRPr="006C352D">
        <w:rPr>
          <w:rFonts w:ascii="Open Sans" w:hAnsi="Open Sans" w:cs="Open Sans"/>
          <w:sz w:val="22"/>
          <w:szCs w:val="22"/>
        </w:rPr>
        <w:t xml:space="preserve"> contracting out is contemplated in the applicable MOU. AB 339 subverts these well-settled principles to the detriment of local public services. </w:t>
      </w:r>
    </w:p>
    <w:p w14:paraId="393301CC" w14:textId="77777777" w:rsidR="00C85A2C" w:rsidRPr="006C352D" w:rsidRDefault="00C85A2C" w:rsidP="006C352D">
      <w:pPr>
        <w:spacing w:after="0" w:line="276" w:lineRule="auto"/>
        <w:rPr>
          <w:rFonts w:ascii="Open Sans" w:hAnsi="Open Sans" w:cs="Open Sans"/>
          <w:sz w:val="22"/>
          <w:szCs w:val="22"/>
        </w:rPr>
      </w:pPr>
    </w:p>
    <w:p w14:paraId="6B380F52" w14:textId="77777777" w:rsidR="00A75390" w:rsidRPr="006C352D" w:rsidRDefault="00E71BB0" w:rsidP="006C352D">
      <w:pPr>
        <w:spacing w:after="0" w:line="276" w:lineRule="auto"/>
        <w:rPr>
          <w:rFonts w:ascii="Open Sans" w:hAnsi="Open Sans" w:cs="Open Sans"/>
          <w:sz w:val="22"/>
          <w:szCs w:val="22"/>
        </w:rPr>
      </w:pPr>
      <w:r w:rsidRPr="006C352D">
        <w:rPr>
          <w:rFonts w:ascii="Open Sans" w:hAnsi="Open Sans" w:cs="Open Sans"/>
          <w:sz w:val="22"/>
          <w:szCs w:val="22"/>
        </w:rPr>
        <w:lastRenderedPageBreak/>
        <w:t xml:space="preserve">The lack of definition of emergency or exigent circumstances in AB 339 undermines existing emergency contracting authority; further, this provision only applies to the initial notice requirement – not the meet and confer provisions – making the provision nearly meaningless in an emergency circumstance. You are undoubtedly aware of the considerable responsibility assumed by local agencies in a natural disaster, public health emergency, or other local crisis. As first responders, local agencies rely on existing statutes that allow for considerable flexibility to ensure the safety and well-being of our communities. </w:t>
      </w:r>
    </w:p>
    <w:p w14:paraId="77047161" w14:textId="77777777" w:rsidR="00A75390" w:rsidRPr="006C352D" w:rsidRDefault="00A75390" w:rsidP="006C352D">
      <w:pPr>
        <w:spacing w:after="0" w:line="276" w:lineRule="auto"/>
        <w:rPr>
          <w:rFonts w:ascii="Open Sans" w:hAnsi="Open Sans" w:cs="Open Sans"/>
          <w:sz w:val="22"/>
          <w:szCs w:val="22"/>
        </w:rPr>
      </w:pPr>
    </w:p>
    <w:p w14:paraId="1327A12F" w14:textId="77777777" w:rsidR="00A75390" w:rsidRPr="006C352D" w:rsidRDefault="00E71BB0" w:rsidP="006C352D">
      <w:pPr>
        <w:spacing w:after="0" w:line="276" w:lineRule="auto"/>
        <w:rPr>
          <w:rFonts w:ascii="Open Sans" w:hAnsi="Open Sans" w:cs="Open Sans"/>
          <w:sz w:val="22"/>
          <w:szCs w:val="22"/>
        </w:rPr>
      </w:pPr>
      <w:r w:rsidRPr="006C352D">
        <w:rPr>
          <w:rFonts w:ascii="Open Sans" w:hAnsi="Open Sans" w:cs="Open Sans"/>
          <w:sz w:val="22"/>
          <w:szCs w:val="22"/>
        </w:rPr>
        <w:t>AB 339 also undermines the existing provisions of the MMBA that ensure that negotiating parties can reach a final agreement on an MOU. Under the section of the measure that authorizes reopening negotiations indefinitely, there is no benefit to employers to finalize negotiations and close on an agreement and, as a result, no labor peace.</w:t>
      </w:r>
    </w:p>
    <w:p w14:paraId="4AA78B75" w14:textId="77777777" w:rsidR="00A75390" w:rsidRPr="006C352D" w:rsidRDefault="00A75390" w:rsidP="006C352D">
      <w:pPr>
        <w:spacing w:after="0" w:line="276" w:lineRule="auto"/>
        <w:rPr>
          <w:rFonts w:ascii="Open Sans" w:hAnsi="Open Sans" w:cs="Open Sans"/>
          <w:sz w:val="22"/>
          <w:szCs w:val="22"/>
        </w:rPr>
      </w:pPr>
    </w:p>
    <w:p w14:paraId="0441FC50" w14:textId="77777777" w:rsidR="00A75390" w:rsidRPr="006C352D" w:rsidRDefault="00E71BB0" w:rsidP="006C352D">
      <w:pPr>
        <w:spacing w:after="0" w:line="276" w:lineRule="auto"/>
        <w:rPr>
          <w:rFonts w:ascii="Open Sans" w:hAnsi="Open Sans" w:cs="Open Sans"/>
          <w:sz w:val="22"/>
          <w:szCs w:val="22"/>
        </w:rPr>
      </w:pPr>
      <w:r w:rsidRPr="006C352D">
        <w:rPr>
          <w:rFonts w:ascii="Open Sans" w:hAnsi="Open Sans" w:cs="Open Sans"/>
          <w:sz w:val="22"/>
          <w:szCs w:val="22"/>
        </w:rPr>
        <w:t xml:space="preserve">AB 339 deters local agencies from working in partnership with local community organizations, who are at the front lines of providing critical local services, and who are already under attack by the federal government, adding considerable uncertainty to their ongoing financial viability. </w:t>
      </w:r>
    </w:p>
    <w:p w14:paraId="2D3FEC65" w14:textId="77777777" w:rsidR="00A75390" w:rsidRPr="006C352D" w:rsidRDefault="00A75390" w:rsidP="006C352D">
      <w:pPr>
        <w:spacing w:after="0" w:line="276" w:lineRule="auto"/>
        <w:rPr>
          <w:rFonts w:ascii="Open Sans" w:hAnsi="Open Sans" w:cs="Open Sans"/>
          <w:sz w:val="22"/>
          <w:szCs w:val="22"/>
        </w:rPr>
      </w:pPr>
    </w:p>
    <w:p w14:paraId="687C06F0" w14:textId="77777777" w:rsidR="00A75390" w:rsidRPr="006C352D" w:rsidRDefault="00E71BB0" w:rsidP="006C352D">
      <w:pPr>
        <w:spacing w:after="0" w:line="276" w:lineRule="auto"/>
        <w:rPr>
          <w:rFonts w:ascii="Open Sans" w:hAnsi="Open Sans" w:cs="Open Sans"/>
          <w:sz w:val="22"/>
          <w:szCs w:val="22"/>
        </w:rPr>
      </w:pPr>
      <w:r w:rsidRPr="006C352D">
        <w:rPr>
          <w:rFonts w:ascii="Open Sans" w:hAnsi="Open Sans" w:cs="Open Sans"/>
          <w:sz w:val="22"/>
          <w:szCs w:val="22"/>
        </w:rPr>
        <w:t xml:space="preserve">Finally, sponsors continue to assert that documents associated with a Request for Proposals (RFP), Request for Quotes (RFQ), contract extensions, and contract renewals are not disclosed to the public. In truth, RFPs and RFQs are typically public by nature and subject to competitive bidding processes and regulations, while contracts are almost always disclosable public records under the Public Records Act. We dispute that local agencies are inappropriately withholding public records and further disagree that local agencies are failing to comply with existing notification requirements under the MMBA. If either were true, there are already existing remedies for sponsors to address these issues. </w:t>
      </w:r>
    </w:p>
    <w:p w14:paraId="51C91CBF" w14:textId="77777777" w:rsidR="00A75390" w:rsidRPr="006C352D" w:rsidRDefault="00A75390" w:rsidP="006C352D">
      <w:pPr>
        <w:spacing w:after="0" w:line="276" w:lineRule="auto"/>
        <w:rPr>
          <w:rFonts w:ascii="Open Sans" w:hAnsi="Open Sans" w:cs="Open Sans"/>
          <w:sz w:val="22"/>
          <w:szCs w:val="22"/>
        </w:rPr>
      </w:pPr>
    </w:p>
    <w:p w14:paraId="033A0364" w14:textId="3E512362" w:rsidR="00D523ED" w:rsidRPr="006C352D" w:rsidRDefault="00E71BB0" w:rsidP="006C352D">
      <w:pPr>
        <w:spacing w:after="0" w:line="276" w:lineRule="auto"/>
        <w:rPr>
          <w:rFonts w:ascii="Open Sans" w:hAnsi="Open Sans" w:cs="Open Sans"/>
          <w:sz w:val="22"/>
          <w:szCs w:val="22"/>
        </w:rPr>
      </w:pPr>
      <w:r w:rsidRPr="006C352D">
        <w:rPr>
          <w:rFonts w:ascii="Open Sans" w:hAnsi="Open Sans" w:cs="Open Sans"/>
          <w:sz w:val="22"/>
          <w:szCs w:val="22"/>
        </w:rPr>
        <w:t>Like previous unsuccessful proposals that have sought to undermine local agencies’ ability to contract for public services, AB 339 represents a sweeping change to the fundamental work of local governments, but we remain unaware of a specific, current, and widespread problem that this measure would resolve or prevent. We are keenly aware, though, of the very real harm that could result from this measure. AB 339 will not improve services, reduce costs, or protect employees. As a result, we are opposed. Should you have any questions about our position, please reach out directly</w:t>
      </w:r>
      <w:r w:rsidR="00A75390" w:rsidRPr="006C352D">
        <w:rPr>
          <w:rFonts w:ascii="Open Sans" w:hAnsi="Open Sans" w:cs="Open Sans"/>
          <w:sz w:val="22"/>
          <w:szCs w:val="22"/>
        </w:rPr>
        <w:t xml:space="preserve">. </w:t>
      </w:r>
    </w:p>
    <w:p w14:paraId="3C20CA7A" w14:textId="77777777" w:rsidR="00A75390" w:rsidRPr="006C352D" w:rsidRDefault="00A75390" w:rsidP="006C352D">
      <w:pPr>
        <w:spacing w:after="0" w:line="276" w:lineRule="auto"/>
        <w:rPr>
          <w:rFonts w:ascii="Open Sans" w:hAnsi="Open Sans" w:cs="Open Sans"/>
          <w:sz w:val="22"/>
          <w:szCs w:val="22"/>
        </w:rPr>
      </w:pPr>
    </w:p>
    <w:p w14:paraId="33AE1D52" w14:textId="3242BD59" w:rsidR="00A75390" w:rsidRPr="006C352D" w:rsidRDefault="00A75390" w:rsidP="006C352D">
      <w:pPr>
        <w:spacing w:after="0" w:line="276" w:lineRule="auto"/>
        <w:rPr>
          <w:rFonts w:ascii="Open Sans" w:hAnsi="Open Sans" w:cs="Open Sans"/>
          <w:sz w:val="22"/>
          <w:szCs w:val="22"/>
        </w:rPr>
      </w:pPr>
      <w:r w:rsidRPr="006C352D">
        <w:rPr>
          <w:rFonts w:ascii="Open Sans" w:hAnsi="Open Sans" w:cs="Open Sans"/>
          <w:sz w:val="22"/>
          <w:szCs w:val="22"/>
        </w:rPr>
        <w:t xml:space="preserve">Sincerely, </w:t>
      </w:r>
    </w:p>
    <w:p w14:paraId="1697B3CC" w14:textId="77777777" w:rsidR="00A75390" w:rsidRPr="006C352D" w:rsidRDefault="00A75390" w:rsidP="006C352D">
      <w:pPr>
        <w:spacing w:after="0" w:line="276" w:lineRule="auto"/>
        <w:rPr>
          <w:rFonts w:ascii="Open Sans" w:hAnsi="Open Sans" w:cs="Open Sans"/>
          <w:sz w:val="22"/>
          <w:szCs w:val="22"/>
        </w:rPr>
      </w:pPr>
    </w:p>
    <w:p w14:paraId="2F282A7E" w14:textId="0FC72F1F" w:rsidR="00A75390" w:rsidRPr="006C352D" w:rsidRDefault="00A75390" w:rsidP="006C352D">
      <w:pPr>
        <w:spacing w:after="0" w:line="276" w:lineRule="auto"/>
        <w:rPr>
          <w:rFonts w:ascii="Open Sans" w:hAnsi="Open Sans" w:cs="Open Sans"/>
          <w:sz w:val="22"/>
          <w:szCs w:val="22"/>
        </w:rPr>
      </w:pPr>
      <w:r w:rsidRPr="00D842BB">
        <w:rPr>
          <w:rFonts w:ascii="Open Sans" w:hAnsi="Open Sans" w:cs="Open Sans"/>
          <w:sz w:val="22"/>
          <w:szCs w:val="22"/>
          <w:highlight w:val="yellow"/>
        </w:rPr>
        <w:t>[Name and Signature]</w:t>
      </w:r>
      <w:r w:rsidRPr="006C352D">
        <w:rPr>
          <w:rFonts w:ascii="Open Sans" w:hAnsi="Open Sans" w:cs="Open Sans"/>
          <w:sz w:val="22"/>
          <w:szCs w:val="22"/>
        </w:rPr>
        <w:t xml:space="preserve"> </w:t>
      </w:r>
    </w:p>
    <w:p w14:paraId="0574C525" w14:textId="77777777" w:rsidR="00A75390" w:rsidRPr="006C352D" w:rsidRDefault="00A75390" w:rsidP="006C352D">
      <w:pPr>
        <w:spacing w:after="0" w:line="276" w:lineRule="auto"/>
        <w:rPr>
          <w:rFonts w:ascii="Open Sans" w:hAnsi="Open Sans" w:cs="Open Sans"/>
          <w:sz w:val="22"/>
          <w:szCs w:val="22"/>
        </w:rPr>
      </w:pPr>
    </w:p>
    <w:p w14:paraId="181B54C2" w14:textId="77777777" w:rsidR="00A75390" w:rsidRPr="006C352D" w:rsidRDefault="00A75390" w:rsidP="006C352D">
      <w:pPr>
        <w:spacing w:after="0" w:line="276" w:lineRule="auto"/>
        <w:rPr>
          <w:rFonts w:ascii="Open Sans" w:hAnsi="Open Sans" w:cs="Open Sans"/>
          <w:sz w:val="22"/>
          <w:szCs w:val="22"/>
        </w:rPr>
      </w:pPr>
    </w:p>
    <w:p w14:paraId="22E5770E" w14:textId="0B81BC2D" w:rsidR="00A75390" w:rsidRPr="006C352D" w:rsidRDefault="00A75390" w:rsidP="003761E3">
      <w:pPr>
        <w:spacing w:after="0" w:line="276" w:lineRule="auto"/>
        <w:rPr>
          <w:rFonts w:ascii="Open Sans" w:hAnsi="Open Sans" w:cs="Open Sans"/>
          <w:sz w:val="22"/>
          <w:szCs w:val="22"/>
        </w:rPr>
      </w:pPr>
      <w:r w:rsidRPr="006C352D">
        <w:rPr>
          <w:rFonts w:ascii="Open Sans" w:hAnsi="Open Sans" w:cs="Open Sans"/>
          <w:sz w:val="22"/>
          <w:szCs w:val="22"/>
        </w:rPr>
        <w:t>CC</w:t>
      </w:r>
      <w:proofErr w:type="gramStart"/>
      <w:r w:rsidRPr="006C352D">
        <w:rPr>
          <w:rFonts w:ascii="Open Sans" w:hAnsi="Open Sans" w:cs="Open Sans"/>
          <w:sz w:val="22"/>
          <w:szCs w:val="22"/>
        </w:rPr>
        <w:t xml:space="preserve">: </w:t>
      </w:r>
      <w:r w:rsidRPr="006C352D">
        <w:rPr>
          <w:rFonts w:ascii="Open Sans" w:hAnsi="Open Sans" w:cs="Open Sans"/>
          <w:sz w:val="22"/>
          <w:szCs w:val="22"/>
        </w:rPr>
        <w:tab/>
        <w:t>The</w:t>
      </w:r>
      <w:proofErr w:type="gramEnd"/>
      <w:r w:rsidRPr="006C352D">
        <w:rPr>
          <w:rFonts w:ascii="Open Sans" w:hAnsi="Open Sans" w:cs="Open Sans"/>
          <w:sz w:val="22"/>
          <w:szCs w:val="22"/>
        </w:rPr>
        <w:t xml:space="preserve"> Honorable Liz Ortega, Member</w:t>
      </w:r>
      <w:r w:rsidR="003D3542">
        <w:rPr>
          <w:rFonts w:ascii="Open Sans" w:hAnsi="Open Sans" w:cs="Open Sans"/>
          <w:sz w:val="22"/>
          <w:szCs w:val="22"/>
        </w:rPr>
        <w:t xml:space="preserve"> of the </w:t>
      </w:r>
      <w:r w:rsidRPr="006C352D">
        <w:rPr>
          <w:rFonts w:ascii="Open Sans" w:hAnsi="Open Sans" w:cs="Open Sans"/>
          <w:sz w:val="22"/>
          <w:szCs w:val="22"/>
        </w:rPr>
        <w:t>California State Assembly</w:t>
      </w:r>
    </w:p>
    <w:p w14:paraId="58150D41" w14:textId="39088A54" w:rsidR="00A75390" w:rsidRDefault="00A75390" w:rsidP="003761E3">
      <w:pPr>
        <w:spacing w:after="0" w:line="276" w:lineRule="auto"/>
        <w:ind w:left="720"/>
        <w:rPr>
          <w:rFonts w:ascii="Open Sans" w:hAnsi="Open Sans" w:cs="Open Sans"/>
          <w:sz w:val="22"/>
          <w:szCs w:val="22"/>
        </w:rPr>
      </w:pPr>
      <w:r w:rsidRPr="006C352D">
        <w:rPr>
          <w:rFonts w:ascii="Open Sans" w:hAnsi="Open Sans" w:cs="Open Sans"/>
          <w:sz w:val="22"/>
          <w:szCs w:val="22"/>
        </w:rPr>
        <w:t xml:space="preserve">Members and </w:t>
      </w:r>
      <w:r w:rsidR="003D3542">
        <w:rPr>
          <w:rFonts w:ascii="Open Sans" w:hAnsi="Open Sans" w:cs="Open Sans"/>
          <w:sz w:val="22"/>
          <w:szCs w:val="22"/>
        </w:rPr>
        <w:t>Staff</w:t>
      </w:r>
      <w:r w:rsidRPr="006C352D">
        <w:rPr>
          <w:rFonts w:ascii="Open Sans" w:hAnsi="Open Sans" w:cs="Open Sans"/>
          <w:sz w:val="22"/>
          <w:szCs w:val="22"/>
        </w:rPr>
        <w:t xml:space="preserve">, Senate </w:t>
      </w:r>
      <w:r w:rsidR="003761E3" w:rsidRPr="00C6475F">
        <w:rPr>
          <w:rFonts w:ascii="Open Sans" w:hAnsi="Open Sans" w:cs="Open Sans"/>
          <w:sz w:val="22"/>
          <w:szCs w:val="22"/>
        </w:rPr>
        <w:t>Labor, Public Employment and Retirement Committee   </w:t>
      </w:r>
    </w:p>
    <w:p w14:paraId="4BA0B409" w14:textId="15B5A4BA" w:rsidR="00357415" w:rsidRDefault="003818DB" w:rsidP="003D3542">
      <w:pPr>
        <w:spacing w:after="0" w:line="276" w:lineRule="auto"/>
        <w:ind w:left="720"/>
        <w:rPr>
          <w:rFonts w:ascii="Open Sans" w:hAnsi="Open Sans" w:cs="Open Sans"/>
          <w:sz w:val="22"/>
          <w:szCs w:val="22"/>
        </w:rPr>
      </w:pPr>
      <w:r>
        <w:rPr>
          <w:rFonts w:ascii="Open Sans" w:hAnsi="Open Sans" w:cs="Open Sans"/>
          <w:sz w:val="22"/>
          <w:szCs w:val="22"/>
        </w:rPr>
        <w:t>Alma Perez, Chief Consultant</w:t>
      </w:r>
      <w:r w:rsidR="003D3542">
        <w:rPr>
          <w:rFonts w:ascii="Open Sans" w:hAnsi="Open Sans" w:cs="Open Sans"/>
          <w:sz w:val="22"/>
          <w:szCs w:val="22"/>
        </w:rPr>
        <w:t xml:space="preserve">, </w:t>
      </w:r>
      <w:r w:rsidR="003D3542" w:rsidRPr="006C352D">
        <w:rPr>
          <w:rFonts w:ascii="Open Sans" w:hAnsi="Open Sans" w:cs="Open Sans"/>
          <w:sz w:val="22"/>
          <w:szCs w:val="22"/>
        </w:rPr>
        <w:t xml:space="preserve">Senate </w:t>
      </w:r>
      <w:r w:rsidR="003D3542" w:rsidRPr="00C6475F">
        <w:rPr>
          <w:rFonts w:ascii="Open Sans" w:hAnsi="Open Sans" w:cs="Open Sans"/>
          <w:sz w:val="22"/>
          <w:szCs w:val="22"/>
        </w:rPr>
        <w:t>Labor, Public Employment and Retirement Committee   </w:t>
      </w:r>
    </w:p>
    <w:p w14:paraId="235EFBFF" w14:textId="1F4A5FF9" w:rsidR="003761E3" w:rsidRDefault="000631B8" w:rsidP="003761E3">
      <w:pPr>
        <w:spacing w:after="0" w:line="276" w:lineRule="auto"/>
        <w:ind w:left="720"/>
        <w:rPr>
          <w:rFonts w:ascii="Open Sans" w:hAnsi="Open Sans" w:cs="Open Sans"/>
          <w:sz w:val="22"/>
          <w:szCs w:val="22"/>
        </w:rPr>
      </w:pPr>
      <w:r>
        <w:rPr>
          <w:rFonts w:ascii="Open Sans" w:hAnsi="Open Sans" w:cs="Open Sans"/>
          <w:sz w:val="22"/>
          <w:szCs w:val="22"/>
        </w:rPr>
        <w:t>Scott Seekatz</w:t>
      </w:r>
      <w:r w:rsidR="001D4104">
        <w:rPr>
          <w:rFonts w:ascii="Open Sans" w:hAnsi="Open Sans" w:cs="Open Sans"/>
          <w:sz w:val="22"/>
          <w:szCs w:val="22"/>
        </w:rPr>
        <w:t xml:space="preserve">, Policy Consultant, </w:t>
      </w:r>
      <w:r w:rsidR="003D3542">
        <w:rPr>
          <w:rFonts w:ascii="Open Sans" w:hAnsi="Open Sans" w:cs="Open Sans"/>
          <w:sz w:val="22"/>
          <w:szCs w:val="22"/>
        </w:rPr>
        <w:t xml:space="preserve">Senate </w:t>
      </w:r>
      <w:r w:rsidR="001D4104">
        <w:rPr>
          <w:rFonts w:ascii="Open Sans" w:hAnsi="Open Sans" w:cs="Open Sans"/>
          <w:sz w:val="22"/>
          <w:szCs w:val="22"/>
        </w:rPr>
        <w:t xml:space="preserve">Republican Caucus </w:t>
      </w:r>
    </w:p>
    <w:p w14:paraId="1700A29C" w14:textId="0D96A672" w:rsidR="003818DB" w:rsidRPr="006C352D" w:rsidRDefault="003818DB" w:rsidP="003761E3">
      <w:pPr>
        <w:spacing w:after="0" w:line="276" w:lineRule="auto"/>
        <w:ind w:left="720"/>
        <w:rPr>
          <w:rFonts w:ascii="Open Sans" w:hAnsi="Open Sans" w:cs="Open Sans"/>
          <w:sz w:val="22"/>
          <w:szCs w:val="22"/>
        </w:rPr>
      </w:pPr>
      <w:r>
        <w:rPr>
          <w:rFonts w:ascii="Open Sans" w:hAnsi="Open Sans" w:cs="Open Sans"/>
          <w:sz w:val="22"/>
          <w:szCs w:val="22"/>
        </w:rPr>
        <w:t>Cory Botts, Policy Consultant,</w:t>
      </w:r>
      <w:r w:rsidR="003D3542">
        <w:rPr>
          <w:rFonts w:ascii="Open Sans" w:hAnsi="Open Sans" w:cs="Open Sans"/>
          <w:sz w:val="22"/>
          <w:szCs w:val="22"/>
        </w:rPr>
        <w:t xml:space="preserve"> Senate</w:t>
      </w:r>
      <w:r>
        <w:rPr>
          <w:rFonts w:ascii="Open Sans" w:hAnsi="Open Sans" w:cs="Open Sans"/>
          <w:sz w:val="22"/>
          <w:szCs w:val="22"/>
        </w:rPr>
        <w:t xml:space="preserve"> Republican Caucus </w:t>
      </w:r>
    </w:p>
    <w:p w14:paraId="76A13E71" w14:textId="77777777" w:rsidR="00A75390" w:rsidRPr="006C352D" w:rsidRDefault="00A75390" w:rsidP="006C352D">
      <w:pPr>
        <w:spacing w:after="0" w:line="276" w:lineRule="auto"/>
        <w:rPr>
          <w:rFonts w:ascii="Open Sans" w:hAnsi="Open Sans" w:cs="Open Sans"/>
          <w:sz w:val="22"/>
          <w:szCs w:val="22"/>
        </w:rPr>
      </w:pPr>
    </w:p>
    <w:sectPr w:rsidR="00A75390" w:rsidRPr="006C3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C006A"/>
    <w:multiLevelType w:val="hybridMultilevel"/>
    <w:tmpl w:val="F43418C8"/>
    <w:lvl w:ilvl="0" w:tplc="728C0602">
      <w:start w:val="1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99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9D"/>
    <w:rsid w:val="0006146E"/>
    <w:rsid w:val="000631B8"/>
    <w:rsid w:val="000D0330"/>
    <w:rsid w:val="000F09A2"/>
    <w:rsid w:val="001D4104"/>
    <w:rsid w:val="00301066"/>
    <w:rsid w:val="00357415"/>
    <w:rsid w:val="003761E3"/>
    <w:rsid w:val="003818DB"/>
    <w:rsid w:val="003D3542"/>
    <w:rsid w:val="00404BEC"/>
    <w:rsid w:val="004B4104"/>
    <w:rsid w:val="0050441E"/>
    <w:rsid w:val="006131E1"/>
    <w:rsid w:val="006C352D"/>
    <w:rsid w:val="007F129D"/>
    <w:rsid w:val="008E339D"/>
    <w:rsid w:val="00A75390"/>
    <w:rsid w:val="00C6475F"/>
    <w:rsid w:val="00C85A2C"/>
    <w:rsid w:val="00D523ED"/>
    <w:rsid w:val="00D842BB"/>
    <w:rsid w:val="00E7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2E3"/>
  <w15:chartTrackingRefBased/>
  <w15:docId w15:val="{7E2E3D73-680C-40E4-9238-7DE75F55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3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3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3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3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3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3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3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3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3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3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3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39D"/>
    <w:rPr>
      <w:rFonts w:eastAsiaTheme="majorEastAsia" w:cstheme="majorBidi"/>
      <w:color w:val="272727" w:themeColor="text1" w:themeTint="D8"/>
    </w:rPr>
  </w:style>
  <w:style w:type="paragraph" w:styleId="Title">
    <w:name w:val="Title"/>
    <w:basedOn w:val="Normal"/>
    <w:next w:val="Normal"/>
    <w:link w:val="TitleChar"/>
    <w:uiPriority w:val="10"/>
    <w:qFormat/>
    <w:rsid w:val="008E33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3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39D"/>
    <w:pPr>
      <w:spacing w:before="160"/>
      <w:jc w:val="center"/>
    </w:pPr>
    <w:rPr>
      <w:i/>
      <w:iCs/>
      <w:color w:val="404040" w:themeColor="text1" w:themeTint="BF"/>
    </w:rPr>
  </w:style>
  <w:style w:type="character" w:customStyle="1" w:styleId="QuoteChar">
    <w:name w:val="Quote Char"/>
    <w:basedOn w:val="DefaultParagraphFont"/>
    <w:link w:val="Quote"/>
    <w:uiPriority w:val="29"/>
    <w:rsid w:val="008E339D"/>
    <w:rPr>
      <w:i/>
      <w:iCs/>
      <w:color w:val="404040" w:themeColor="text1" w:themeTint="BF"/>
    </w:rPr>
  </w:style>
  <w:style w:type="paragraph" w:styleId="ListParagraph">
    <w:name w:val="List Paragraph"/>
    <w:basedOn w:val="Normal"/>
    <w:uiPriority w:val="34"/>
    <w:qFormat/>
    <w:rsid w:val="008E339D"/>
    <w:pPr>
      <w:ind w:left="720"/>
      <w:contextualSpacing/>
    </w:pPr>
  </w:style>
  <w:style w:type="character" w:styleId="IntenseEmphasis">
    <w:name w:val="Intense Emphasis"/>
    <w:basedOn w:val="DefaultParagraphFont"/>
    <w:uiPriority w:val="21"/>
    <w:qFormat/>
    <w:rsid w:val="008E339D"/>
    <w:rPr>
      <w:i/>
      <w:iCs/>
      <w:color w:val="0F4761" w:themeColor="accent1" w:themeShade="BF"/>
    </w:rPr>
  </w:style>
  <w:style w:type="paragraph" w:styleId="IntenseQuote">
    <w:name w:val="Intense Quote"/>
    <w:basedOn w:val="Normal"/>
    <w:next w:val="Normal"/>
    <w:link w:val="IntenseQuoteChar"/>
    <w:uiPriority w:val="30"/>
    <w:qFormat/>
    <w:rsid w:val="008E33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39D"/>
    <w:rPr>
      <w:i/>
      <w:iCs/>
      <w:color w:val="0F4761" w:themeColor="accent1" w:themeShade="BF"/>
    </w:rPr>
  </w:style>
  <w:style w:type="character" w:styleId="IntenseReference">
    <w:name w:val="Intense Reference"/>
    <w:basedOn w:val="DefaultParagraphFont"/>
    <w:uiPriority w:val="32"/>
    <w:qFormat/>
    <w:rsid w:val="008E33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Julissa Ceja Cardenas</dc:creator>
  <cp:keywords/>
  <dc:description/>
  <cp:lastModifiedBy>Julissa Ceja Cardenas</cp:lastModifiedBy>
  <cp:revision>16</cp:revision>
  <dcterms:created xsi:type="dcterms:W3CDTF">2025-06-11T21:31:00Z</dcterms:created>
  <dcterms:modified xsi:type="dcterms:W3CDTF">2025-06-12T17:35:00Z</dcterms:modified>
</cp:coreProperties>
</file>