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35FA8" w:rsidRPr="00620848" w14:paraId="678EAEB2" w14:textId="77777777" w:rsidTr="00CC17F1">
        <w:tc>
          <w:tcPr>
            <w:tcW w:w="4675" w:type="dxa"/>
          </w:tcPr>
          <w:p w14:paraId="0A08AAB1" w14:textId="77777777" w:rsidR="00235FA8" w:rsidRPr="00620848" w:rsidRDefault="00235FA8" w:rsidP="00CC17F1">
            <w:pPr>
              <w:ind w:left="-112"/>
              <w:rPr>
                <w:rFonts w:ascii="Arial" w:hAnsi="Arial" w:cs="Arial"/>
              </w:rPr>
            </w:pPr>
            <w:r w:rsidRPr="00620848">
              <w:rPr>
                <w:rFonts w:ascii="Arial" w:hAnsi="Arial" w:cs="Arial"/>
              </w:rPr>
              <w:t xml:space="preserve">Hon. </w:t>
            </w:r>
            <w:r w:rsidRPr="00620848">
              <w:rPr>
                <w:rFonts w:ascii="Arial" w:hAnsi="Arial" w:cs="Arial"/>
                <w:b/>
                <w:bCs/>
                <w:highlight w:val="yellow"/>
              </w:rPr>
              <w:t>[Your Senator’s Name]</w:t>
            </w:r>
            <w:r w:rsidRPr="00620848">
              <w:rPr>
                <w:rFonts w:ascii="Arial" w:hAnsi="Arial" w:cs="Arial"/>
              </w:rPr>
              <w:br/>
              <w:t>U.S. Senate</w:t>
            </w:r>
            <w:r w:rsidRPr="00620848">
              <w:rPr>
                <w:rFonts w:ascii="Arial" w:hAnsi="Arial" w:cs="Arial"/>
              </w:rPr>
              <w:br/>
              <w:t>Washington, DC, 20510</w:t>
            </w:r>
          </w:p>
        </w:tc>
        <w:tc>
          <w:tcPr>
            <w:tcW w:w="4675" w:type="dxa"/>
          </w:tcPr>
          <w:p w14:paraId="0988FE41" w14:textId="77777777" w:rsidR="00235FA8" w:rsidRPr="00620848" w:rsidRDefault="00235FA8" w:rsidP="00CC17F1">
            <w:pPr>
              <w:rPr>
                <w:rFonts w:ascii="Arial" w:hAnsi="Arial" w:cs="Arial"/>
              </w:rPr>
            </w:pPr>
            <w:r w:rsidRPr="00620848">
              <w:rPr>
                <w:rFonts w:ascii="Arial" w:hAnsi="Arial" w:cs="Arial"/>
              </w:rPr>
              <w:t xml:space="preserve">Hon. </w:t>
            </w:r>
            <w:r w:rsidRPr="00620848">
              <w:rPr>
                <w:rFonts w:ascii="Arial" w:hAnsi="Arial" w:cs="Arial"/>
                <w:b/>
                <w:bCs/>
                <w:highlight w:val="yellow"/>
              </w:rPr>
              <w:t>[Your Senator’s Name]</w:t>
            </w:r>
            <w:r w:rsidRPr="00620848">
              <w:rPr>
                <w:rFonts w:ascii="Arial" w:hAnsi="Arial" w:cs="Arial"/>
              </w:rPr>
              <w:br/>
              <w:t>U.S. Senate</w:t>
            </w:r>
            <w:r w:rsidRPr="00620848">
              <w:rPr>
                <w:rFonts w:ascii="Arial" w:hAnsi="Arial" w:cs="Arial"/>
              </w:rPr>
              <w:br/>
              <w:t>Washington, DC, 20510</w:t>
            </w:r>
          </w:p>
        </w:tc>
      </w:tr>
    </w:tbl>
    <w:p w14:paraId="67D0CD82" w14:textId="77777777" w:rsidR="00235FA8" w:rsidRPr="00620848" w:rsidRDefault="00235FA8" w:rsidP="00235FA8"/>
    <w:p w14:paraId="5068F52D" w14:textId="77777777" w:rsidR="00235FA8" w:rsidRPr="00620848" w:rsidRDefault="00235FA8" w:rsidP="00235FA8">
      <w:pPr>
        <w:rPr>
          <w:b/>
          <w:bCs/>
        </w:rPr>
      </w:pPr>
      <w:r w:rsidRPr="00620848">
        <w:rPr>
          <w:b/>
          <w:bCs/>
        </w:rPr>
        <w:t>Subject: Support for local government recognition in permitting reform legislation</w:t>
      </w:r>
    </w:p>
    <w:p w14:paraId="73914C4B" w14:textId="3E2A9C3C" w:rsidR="002117E3" w:rsidRPr="002117E3" w:rsidRDefault="002117E3" w:rsidP="002117E3">
      <w:r w:rsidRPr="002117E3">
        <w:t>Dear Senators [Names]:</w:t>
      </w:r>
    </w:p>
    <w:p w14:paraId="2828D3E8" w14:textId="446A4F25" w:rsidR="002117E3" w:rsidRPr="002117E3" w:rsidRDefault="002117E3" w:rsidP="002117E3">
      <w:r w:rsidRPr="002117E3">
        <w:t xml:space="preserve">On behalf of </w:t>
      </w:r>
      <w:bookmarkStart w:id="0" w:name="_Hlk218764960"/>
      <w:r w:rsidR="008F4E24" w:rsidRPr="008F4E24">
        <w:rPr>
          <w:highlight w:val="yellow"/>
        </w:rPr>
        <w:t>[NAME] County</w:t>
      </w:r>
      <w:bookmarkEnd w:id="0"/>
      <w:r w:rsidRPr="002117E3">
        <w:t>, California, we write to urge your support for key provisions in H.R. 4776, the SPEED Act. This legislation would make commonsense reforms to the federal environmental review process while strengthening local government involvement in federal decision-making. Specifically, the SPEED Act would expand county participation in environmental review by designating counties as cooperating agencies and would help reduce costly delays for critical infrastructure, land management, housing, and broadband projects.</w:t>
      </w:r>
    </w:p>
    <w:p w14:paraId="41562C18" w14:textId="77777777" w:rsidR="002117E3" w:rsidRPr="002117E3" w:rsidRDefault="002117E3" w:rsidP="002117E3">
      <w:r w:rsidRPr="002117E3">
        <w:t>The National Environmental Policy Act (NEPA) is a foundational environmental law that requires federal agencies to consider the impacts of major federal actions. We share NEPA’s commitment to protecting a healthy natural environment for our residents. However, in the decades since its enactment, the NEPA process has become increasingly burdensome, costly, and time-consuming.</w:t>
      </w:r>
    </w:p>
    <w:p w14:paraId="21E67321" w14:textId="0B8962C7" w:rsidR="002117E3" w:rsidRPr="002117E3" w:rsidRDefault="002117E3" w:rsidP="002117E3">
      <w:r w:rsidRPr="002117E3">
        <w:t xml:space="preserve">In </w:t>
      </w:r>
      <w:r w:rsidR="008F4E24" w:rsidRPr="008F4E24">
        <w:rPr>
          <w:highlight w:val="yellow"/>
        </w:rPr>
        <w:t>[NAME] County</w:t>
      </w:r>
      <w:r w:rsidRPr="002117E3">
        <w:t xml:space="preserve">, arduous federal permitting processes have delayed important repairs and reconstruction projects on existing infrastructure. For example, </w:t>
      </w:r>
      <w:r w:rsidR="008F4E24" w:rsidRPr="008F4E24">
        <w:rPr>
          <w:highlight w:val="yellow"/>
        </w:rPr>
        <w:t xml:space="preserve">[Insert example from your county reflecting how </w:t>
      </w:r>
      <w:r w:rsidR="008F4E24">
        <w:rPr>
          <w:highlight w:val="yellow"/>
        </w:rPr>
        <w:t>issues/</w:t>
      </w:r>
      <w:r w:rsidR="008F4E24" w:rsidRPr="008F4E24">
        <w:rPr>
          <w:highlight w:val="yellow"/>
        </w:rPr>
        <w:t>delays with NEPA permitting</w:t>
      </w:r>
      <w:r w:rsidR="008F4E24">
        <w:rPr>
          <w:highlight w:val="yellow"/>
        </w:rPr>
        <w:t xml:space="preserve"> negatively</w:t>
      </w:r>
      <w:r w:rsidR="008F4E24" w:rsidRPr="008F4E24">
        <w:rPr>
          <w:highlight w:val="yellow"/>
        </w:rPr>
        <w:t xml:space="preserve"> impacted a project</w:t>
      </w:r>
      <w:r w:rsidR="008F4E24">
        <w:rPr>
          <w:highlight w:val="yellow"/>
        </w:rPr>
        <w:t>. Feel free to add multiple sentences &amp; paragraphs to explain</w:t>
      </w:r>
      <w:r w:rsidR="008F4E24" w:rsidRPr="008F4E24">
        <w:rPr>
          <w:highlight w:val="yellow"/>
        </w:rPr>
        <w:t>]</w:t>
      </w:r>
    </w:p>
    <w:p w14:paraId="21D9297C" w14:textId="77777777" w:rsidR="002117E3" w:rsidRPr="002117E3" w:rsidRDefault="002117E3" w:rsidP="002117E3">
      <w:r w:rsidRPr="002117E3">
        <w:t>As the Senate considers reforms to expedite critical projects and reduce costs, we strongly support the SPEED Act’s provisions that guarantee local governments a meaningful role in the NEPA process. By identifying “counties, boroughs, parishes, and other political subdivisions of a state” as cooperating agencies, the legislation ensures that local knowledge and expertise are incorporated into federal decision-making.</w:t>
      </w:r>
    </w:p>
    <w:p w14:paraId="231938C4" w14:textId="2BDC0901" w:rsidR="002117E3" w:rsidRDefault="002117E3" w:rsidP="002117E3">
      <w:r w:rsidRPr="002117E3">
        <w:t xml:space="preserve">Below are examples of common challenges faced by public agencies, including </w:t>
      </w:r>
      <w:r w:rsidR="008F4E24" w:rsidRPr="008F4E24">
        <w:rPr>
          <w:highlight w:val="yellow"/>
        </w:rPr>
        <w:t>[</w:t>
      </w:r>
      <w:bookmarkStart w:id="1" w:name="_Hlk218765108"/>
      <w:r w:rsidR="008F4E24" w:rsidRPr="008F4E24">
        <w:rPr>
          <w:highlight w:val="yellow"/>
        </w:rPr>
        <w:t>NAME] County</w:t>
      </w:r>
      <w:r w:rsidR="008F4E24" w:rsidRPr="008F4E24">
        <w:rPr>
          <w:highlight w:val="yellow"/>
        </w:rPr>
        <w:t>’s</w:t>
      </w:r>
      <w:r w:rsidR="008F4E24" w:rsidRPr="008F4E24">
        <w:t xml:space="preserve"> </w:t>
      </w:r>
      <w:bookmarkEnd w:id="1"/>
      <w:r w:rsidRPr="002117E3">
        <w:t>experience with the NEPA process, that are directly relevant to the SPEED Act:</w:t>
      </w:r>
    </w:p>
    <w:p w14:paraId="7A87FD7B" w14:textId="455B236D" w:rsidR="008F4E24" w:rsidRPr="002117E3" w:rsidRDefault="008F4E24" w:rsidP="002117E3">
      <w:r w:rsidRPr="008F4E24">
        <w:rPr>
          <w:highlight w:val="yellow"/>
        </w:rPr>
        <w:t>If possible, list examples of issues using the format below. Examples are provided but feel free to modify as necessary for your county’s concerns.</w:t>
      </w:r>
    </w:p>
    <w:p w14:paraId="19A36BF5" w14:textId="77777777" w:rsidR="002117E3" w:rsidRPr="002117E3" w:rsidRDefault="002117E3" w:rsidP="002117E3">
      <w:r w:rsidRPr="002117E3">
        <w:t>A. In general, the NEPA process has contributed to significant cost increases and project delivery delays. Hundreds of thousands of dollars are routinely spent on CEQA/NEPA studies for individual projects, often resulting in identical mitigation measures—such as the installation of orange ESA fencing—regardless of site-specific conditions.</w:t>
      </w:r>
    </w:p>
    <w:p w14:paraId="2D7144B0" w14:textId="1C97601E" w:rsidR="002117E3" w:rsidRPr="002117E3" w:rsidRDefault="002117E3" w:rsidP="002117E3">
      <w:r w:rsidRPr="002117E3">
        <w:t xml:space="preserve">B. Restrictions related to the </w:t>
      </w:r>
      <w:r w:rsidR="008F4E24" w:rsidRPr="008F4E24">
        <w:rPr>
          <w:highlight w:val="yellow"/>
        </w:rPr>
        <w:t>[INSERT SPECIES]</w:t>
      </w:r>
      <w:r w:rsidRPr="002117E3">
        <w:t xml:space="preserve"> are particularly constraining. Construction is often prohibited until after </w:t>
      </w:r>
      <w:r w:rsidR="008F4E24" w:rsidRPr="008F4E24">
        <w:rPr>
          <w:highlight w:val="yellow"/>
        </w:rPr>
        <w:t>[DATE</w:t>
      </w:r>
      <w:proofErr w:type="gramStart"/>
      <w:r w:rsidR="008F4E24" w:rsidRPr="008F4E24">
        <w:rPr>
          <w:highlight w:val="yellow"/>
        </w:rPr>
        <w:t>]</w:t>
      </w:r>
      <w:r w:rsidR="008F4E24">
        <w:t xml:space="preserve"> </w:t>
      </w:r>
      <w:r w:rsidRPr="002117E3">
        <w:t>,</w:t>
      </w:r>
      <w:proofErr w:type="gramEnd"/>
      <w:r w:rsidRPr="002117E3">
        <w:t xml:space="preserve"> leaving insufficient time to complete work before winter storms. In many cases, there </w:t>
      </w:r>
      <w:r w:rsidR="008F4E24">
        <w:t xml:space="preserve">are no </w:t>
      </w:r>
      <w:r w:rsidR="008F4E24" w:rsidRPr="008F4E24">
        <w:rPr>
          <w:highlight w:val="yellow"/>
        </w:rPr>
        <w:t xml:space="preserve">[INSERT Species indicator: </w:t>
      </w:r>
      <w:proofErr w:type="spellStart"/>
      <w:r w:rsidR="008F4E24" w:rsidRPr="008F4E24">
        <w:rPr>
          <w:highlight w:val="yellow"/>
        </w:rPr>
        <w:t>ie</w:t>
      </w:r>
      <w:proofErr w:type="spellEnd"/>
      <w:r w:rsidR="008F4E24" w:rsidRPr="008F4E24">
        <w:rPr>
          <w:highlight w:val="yellow"/>
        </w:rPr>
        <w:t xml:space="preserve">. Nests, </w:t>
      </w:r>
      <w:proofErr w:type="spellStart"/>
      <w:r w:rsidR="008F4E24" w:rsidRPr="008F4E24">
        <w:rPr>
          <w:highlight w:val="yellow"/>
        </w:rPr>
        <w:t>sighttings</w:t>
      </w:r>
      <w:proofErr w:type="spellEnd"/>
      <w:r w:rsidR="008F4E24" w:rsidRPr="008F4E24">
        <w:rPr>
          <w:highlight w:val="yellow"/>
        </w:rPr>
        <w:t xml:space="preserve">, </w:t>
      </w:r>
      <w:proofErr w:type="spellStart"/>
      <w:proofErr w:type="gramStart"/>
      <w:r w:rsidR="008F4E24" w:rsidRPr="008F4E24">
        <w:rPr>
          <w:highlight w:val="yellow"/>
        </w:rPr>
        <w:t>etc</w:t>
      </w:r>
      <w:proofErr w:type="spellEnd"/>
      <w:r w:rsidR="008F4E24" w:rsidRPr="008F4E24">
        <w:rPr>
          <w:highlight w:val="yellow"/>
        </w:rPr>
        <w:t>)</w:t>
      </w:r>
      <w:r w:rsidR="008F4E24">
        <w:t xml:space="preserve"> </w:t>
      </w:r>
      <w:r w:rsidRPr="002117E3">
        <w:t xml:space="preserve"> within</w:t>
      </w:r>
      <w:proofErr w:type="gramEnd"/>
      <w:r w:rsidRPr="002117E3">
        <w:t xml:space="preserve"> project areas, yet restrictions are imposed based on assumptions rather than verified presence.</w:t>
      </w:r>
    </w:p>
    <w:p w14:paraId="6D64CDA1" w14:textId="6125EB9D" w:rsidR="002117E3" w:rsidRPr="00235FA8" w:rsidRDefault="002117E3" w:rsidP="002117E3">
      <w:r w:rsidRPr="00235FA8">
        <w:lastRenderedPageBreak/>
        <w:t xml:space="preserve">C. Much of the NEPA process has become “cookie-cutter,” requiring repetitive preparation of nearly identical environmental documents. For example, </w:t>
      </w:r>
      <w:r w:rsidR="008F4E24" w:rsidRPr="008F4E24">
        <w:rPr>
          <w:highlight w:val="yellow"/>
        </w:rPr>
        <w:t>[</w:t>
      </w:r>
      <w:r w:rsidR="008F4E24" w:rsidRPr="008F4E24">
        <w:rPr>
          <w:highlight w:val="yellow"/>
        </w:rPr>
        <w:t xml:space="preserve">Insert projects with </w:t>
      </w:r>
      <w:proofErr w:type="spellStart"/>
      <w:r w:rsidR="008F4E24" w:rsidRPr="008F4E24">
        <w:rPr>
          <w:highlight w:val="yellow"/>
        </w:rPr>
        <w:t>repitive</w:t>
      </w:r>
      <w:proofErr w:type="spellEnd"/>
      <w:r w:rsidR="008F4E24" w:rsidRPr="008F4E24">
        <w:rPr>
          <w:highlight w:val="yellow"/>
        </w:rPr>
        <w:t xml:space="preserve"> NEPA </w:t>
      </w:r>
      <w:proofErr w:type="spellStart"/>
      <w:r w:rsidR="008F4E24" w:rsidRPr="008F4E24">
        <w:rPr>
          <w:highlight w:val="yellow"/>
        </w:rPr>
        <w:t>Documentaiton</w:t>
      </w:r>
      <w:proofErr w:type="spellEnd"/>
      <w:r w:rsidR="008F4E24" w:rsidRPr="008F4E24">
        <w:rPr>
          <w:highlight w:val="yellow"/>
        </w:rPr>
        <w:t>]</w:t>
      </w:r>
    </w:p>
    <w:p w14:paraId="4F319472" w14:textId="687B7345" w:rsidR="002117E3" w:rsidRPr="002117E3" w:rsidRDefault="002117E3" w:rsidP="002117E3">
      <w:r w:rsidRPr="00235FA8">
        <w:t xml:space="preserve">D. </w:t>
      </w:r>
      <w:r w:rsidR="008F4E24" w:rsidRPr="008F4E24">
        <w:rPr>
          <w:highlight w:val="yellow"/>
        </w:rPr>
        <w:t>[Insert NEPA drive cost escalation and/or construction delays on a project]</w:t>
      </w:r>
    </w:p>
    <w:p w14:paraId="3C18B61A" w14:textId="77777777" w:rsidR="002117E3" w:rsidRPr="002117E3" w:rsidRDefault="002117E3" w:rsidP="002117E3">
      <w:r w:rsidRPr="002117E3">
        <w:t>As local leaders, we bring valuable expertise and firsthand knowledge of our communities that federal decision-makers should incorporate when evaluating project impacts. The SPEED Act would codify this intergovernmental partnership in federal law, and we strongly support its inclusion.</w:t>
      </w:r>
    </w:p>
    <w:p w14:paraId="1B0ED160" w14:textId="77777777" w:rsidR="002117E3" w:rsidRPr="002117E3" w:rsidRDefault="002117E3" w:rsidP="002117E3">
      <w:r w:rsidRPr="002117E3">
        <w:t>The reforms proposed in the SPEED Act would streamline federal permitting, reduce unnecessary delays, and allow limited public funds to go further. These changes would have a substantial positive impact on essential infrastructure projects in Trinity County and similar rural communities nationwide. We urge you to support the SPEED Act’s commonsense provisions that uphold meaningful local government involvement in federal permitting reform.</w:t>
      </w:r>
    </w:p>
    <w:p w14:paraId="2282FFC2" w14:textId="77777777" w:rsidR="002117E3" w:rsidRPr="002117E3" w:rsidRDefault="002117E3" w:rsidP="002117E3">
      <w:r w:rsidRPr="002117E3">
        <w:t>Thank you for your consideration.</w:t>
      </w:r>
    </w:p>
    <w:p w14:paraId="169A6B94" w14:textId="77777777" w:rsidR="002117E3" w:rsidRPr="002117E3" w:rsidRDefault="002117E3" w:rsidP="002117E3">
      <w:r w:rsidRPr="002117E3">
        <w:t>Sincerely,</w:t>
      </w:r>
    </w:p>
    <w:p w14:paraId="64E6AC1E" w14:textId="63020D8F" w:rsidR="002117E3" w:rsidRPr="002117E3" w:rsidRDefault="002117E3" w:rsidP="002117E3">
      <w:r w:rsidRPr="008F4E24">
        <w:rPr>
          <w:highlight w:val="yellow"/>
        </w:rPr>
        <w:t>[Signature]</w:t>
      </w:r>
    </w:p>
    <w:sectPr w:rsidR="002117E3" w:rsidRPr="002117E3" w:rsidSect="002117E3">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8199B"/>
    <w:multiLevelType w:val="multilevel"/>
    <w:tmpl w:val="0DAE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15A4F"/>
    <w:multiLevelType w:val="multilevel"/>
    <w:tmpl w:val="8BD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19981">
    <w:abstractNumId w:val="0"/>
  </w:num>
  <w:num w:numId="2" w16cid:durableId="158533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3"/>
    <w:rsid w:val="00012CD7"/>
    <w:rsid w:val="000544CE"/>
    <w:rsid w:val="000C14F2"/>
    <w:rsid w:val="000D30AE"/>
    <w:rsid w:val="002117E3"/>
    <w:rsid w:val="00235FA8"/>
    <w:rsid w:val="006A189D"/>
    <w:rsid w:val="006F1AEC"/>
    <w:rsid w:val="008F4E24"/>
    <w:rsid w:val="00905971"/>
    <w:rsid w:val="00A0134F"/>
    <w:rsid w:val="00AF1A04"/>
    <w:rsid w:val="00C60275"/>
    <w:rsid w:val="00D25EF3"/>
    <w:rsid w:val="00E139FD"/>
    <w:rsid w:val="00E900E3"/>
    <w:rsid w:val="00F9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D449"/>
  <w15:chartTrackingRefBased/>
  <w15:docId w15:val="{8EF94A7D-C792-4C02-90B4-92404FBC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7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7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17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17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17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17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17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7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7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17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17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17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17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17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1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7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7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17E3"/>
    <w:pPr>
      <w:spacing w:before="160"/>
      <w:jc w:val="center"/>
    </w:pPr>
    <w:rPr>
      <w:i/>
      <w:iCs/>
      <w:color w:val="404040" w:themeColor="text1" w:themeTint="BF"/>
    </w:rPr>
  </w:style>
  <w:style w:type="character" w:customStyle="1" w:styleId="QuoteChar">
    <w:name w:val="Quote Char"/>
    <w:basedOn w:val="DefaultParagraphFont"/>
    <w:link w:val="Quote"/>
    <w:uiPriority w:val="29"/>
    <w:rsid w:val="002117E3"/>
    <w:rPr>
      <w:i/>
      <w:iCs/>
      <w:color w:val="404040" w:themeColor="text1" w:themeTint="BF"/>
    </w:rPr>
  </w:style>
  <w:style w:type="paragraph" w:styleId="ListParagraph">
    <w:name w:val="List Paragraph"/>
    <w:basedOn w:val="Normal"/>
    <w:uiPriority w:val="34"/>
    <w:qFormat/>
    <w:rsid w:val="002117E3"/>
    <w:pPr>
      <w:ind w:left="720"/>
      <w:contextualSpacing/>
    </w:pPr>
  </w:style>
  <w:style w:type="character" w:styleId="IntenseEmphasis">
    <w:name w:val="Intense Emphasis"/>
    <w:basedOn w:val="DefaultParagraphFont"/>
    <w:uiPriority w:val="21"/>
    <w:qFormat/>
    <w:rsid w:val="002117E3"/>
    <w:rPr>
      <w:i/>
      <w:iCs/>
      <w:color w:val="0F4761" w:themeColor="accent1" w:themeShade="BF"/>
    </w:rPr>
  </w:style>
  <w:style w:type="paragraph" w:styleId="IntenseQuote">
    <w:name w:val="Intense Quote"/>
    <w:basedOn w:val="Normal"/>
    <w:next w:val="Normal"/>
    <w:link w:val="IntenseQuoteChar"/>
    <w:uiPriority w:val="30"/>
    <w:qFormat/>
    <w:rsid w:val="00211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7E3"/>
    <w:rPr>
      <w:i/>
      <w:iCs/>
      <w:color w:val="0F4761" w:themeColor="accent1" w:themeShade="BF"/>
    </w:rPr>
  </w:style>
  <w:style w:type="character" w:styleId="IntenseReference">
    <w:name w:val="Intense Reference"/>
    <w:basedOn w:val="DefaultParagraphFont"/>
    <w:uiPriority w:val="32"/>
    <w:qFormat/>
    <w:rsid w:val="002117E3"/>
    <w:rPr>
      <w:b/>
      <w:bCs/>
      <w:smallCaps/>
      <w:color w:val="0F4761" w:themeColor="accent1" w:themeShade="BF"/>
      <w:spacing w:val="5"/>
    </w:rPr>
  </w:style>
  <w:style w:type="table" w:styleId="TableGrid">
    <w:name w:val="Table Grid"/>
    <w:basedOn w:val="TableNormal"/>
    <w:uiPriority w:val="39"/>
    <w:rsid w:val="00235FA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Kokkas</dc:creator>
  <cp:keywords/>
  <dc:description/>
  <cp:lastModifiedBy>Mark Neuburger</cp:lastModifiedBy>
  <cp:revision>2</cp:revision>
  <cp:lastPrinted>2025-12-30T23:38:00Z</cp:lastPrinted>
  <dcterms:created xsi:type="dcterms:W3CDTF">2026-01-08T19:49:00Z</dcterms:created>
  <dcterms:modified xsi:type="dcterms:W3CDTF">2026-01-08T19:49:00Z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2025-12-30T23:24:22Z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94030ef6-d928-493f-9d8e-89a593f2f1e6</vt:lpwstr>
  </property>
  <property fmtid="{D5CDD505-2E9C-101B-9397-08002B2CF9AE}" pid="7" name="MSIP_Label_defa4170-0d19-0005-0004-bc88714345d2_ActionId">
    <vt:lpwstr>4be5e19d-543f-43cc-a9eb-b3e8ed0a688f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